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447" w:rsidRPr="00700E68" w:rsidRDefault="00532447" w:rsidP="00FD52A1">
      <w:pPr>
        <w:pStyle w:val="Ttulo"/>
        <w:spacing w:line="240" w:lineRule="auto"/>
        <w:rPr>
          <w:rFonts w:cs="Arial"/>
          <w:spacing w:val="0"/>
          <w:sz w:val="18"/>
          <w:szCs w:val="18"/>
        </w:rPr>
      </w:pPr>
    </w:p>
    <w:p w:rsidR="008222BC" w:rsidRPr="00700E68" w:rsidRDefault="00921CD0" w:rsidP="00FD52A1">
      <w:pPr>
        <w:pStyle w:val="Ttulo"/>
        <w:spacing w:line="240" w:lineRule="auto"/>
        <w:rPr>
          <w:rFonts w:cs="Arial"/>
          <w:spacing w:val="0"/>
          <w:sz w:val="18"/>
          <w:szCs w:val="18"/>
        </w:rPr>
      </w:pPr>
      <w:r w:rsidRPr="00700E68">
        <w:rPr>
          <w:rFonts w:cs="Arial"/>
          <w:noProof/>
          <w:snapToGrid/>
          <w:spacing w:val="0"/>
          <w:sz w:val="18"/>
          <w:szCs w:val="18"/>
          <w:lang w:val="es-CO" w:eastAsia="es-CO"/>
        </w:rPr>
        <mc:AlternateContent>
          <mc:Choice Requires="wps">
            <w:drawing>
              <wp:anchor distT="0" distB="0" distL="114300" distR="114300" simplePos="0" relativeHeight="251658240" behindDoc="0" locked="0" layoutInCell="1" allowOverlap="1" wp14:anchorId="1FD49DEF" wp14:editId="3ABBADE5">
                <wp:simplePos x="0" y="0"/>
                <wp:positionH relativeFrom="column">
                  <wp:posOffset>-72951</wp:posOffset>
                </wp:positionH>
                <wp:positionV relativeFrom="paragraph">
                  <wp:posOffset>12582</wp:posOffset>
                </wp:positionV>
                <wp:extent cx="635" cy="9732645"/>
                <wp:effectExtent l="0" t="0" r="37465" b="20955"/>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73264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75pt;margin-top:1pt;width:.05pt;height:76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" strokecolor="black [3213]"/>
            </w:pict>
          </mc:Fallback>
        </mc:AlternateContent>
      </w:r>
      <w:r w:rsidR="008222BC" w:rsidRPr="00700E68">
        <w:rPr>
          <w:rFonts w:cs="Arial"/>
          <w:spacing w:val="0"/>
          <w:sz w:val="18"/>
          <w:szCs w:val="18"/>
        </w:rPr>
        <w:t>CAPITULO XIII-1</w:t>
      </w:r>
      <w:r w:rsidR="00C37310" w:rsidRPr="00700E68">
        <w:rPr>
          <w:rFonts w:cs="Arial"/>
          <w:spacing w:val="0"/>
          <w:sz w:val="18"/>
          <w:szCs w:val="18"/>
        </w:rPr>
        <w:t>3</w:t>
      </w:r>
    </w:p>
    <w:p w:rsidR="00AD1E6A" w:rsidRPr="00700E68" w:rsidRDefault="00AD1E6A" w:rsidP="00FD52A1">
      <w:pPr>
        <w:jc w:val="center"/>
        <w:rPr>
          <w:rFonts w:ascii="Arial" w:hAnsi="Arial" w:cs="Arial"/>
          <w:b/>
          <w:sz w:val="18"/>
          <w:szCs w:val="18"/>
        </w:rPr>
      </w:pPr>
    </w:p>
    <w:p w:rsidR="00ED105F" w:rsidRPr="00700E68" w:rsidRDefault="008A1BA6" w:rsidP="00FD52A1">
      <w:pPr>
        <w:jc w:val="center"/>
        <w:rPr>
          <w:rFonts w:ascii="Arial" w:hAnsi="Arial" w:cs="Arial"/>
          <w:b/>
          <w:sz w:val="18"/>
          <w:szCs w:val="18"/>
        </w:rPr>
      </w:pPr>
      <w:r w:rsidRPr="00700E68">
        <w:rPr>
          <w:rFonts w:ascii="Arial" w:hAnsi="Arial" w:cs="Arial"/>
          <w:b/>
          <w:sz w:val="18"/>
          <w:szCs w:val="18"/>
        </w:rPr>
        <w:t>PATRIMONIO TÉCNICO Y RELACIONES MÍNIMAS DE SOLVENCIA</w:t>
      </w:r>
    </w:p>
    <w:p w:rsidR="008222BC" w:rsidRPr="00700E68" w:rsidRDefault="008222BC" w:rsidP="00FD52A1">
      <w:pPr>
        <w:jc w:val="center"/>
        <w:rPr>
          <w:rFonts w:ascii="Arial" w:hAnsi="Arial" w:cs="Arial"/>
          <w:b/>
          <w:sz w:val="18"/>
          <w:szCs w:val="18"/>
        </w:rPr>
      </w:pPr>
    </w:p>
    <w:p w:rsidR="008A1BA6" w:rsidRPr="00700E68" w:rsidRDefault="008A1BA6" w:rsidP="00FD52A1">
      <w:pPr>
        <w:jc w:val="center"/>
        <w:rPr>
          <w:rFonts w:ascii="Arial" w:hAnsi="Arial" w:cs="Arial"/>
          <w:b/>
          <w:sz w:val="18"/>
          <w:szCs w:val="18"/>
        </w:rPr>
      </w:pPr>
      <w:r w:rsidRPr="00700E68">
        <w:rPr>
          <w:rFonts w:ascii="Arial" w:hAnsi="Arial" w:cs="Arial"/>
          <w:b/>
          <w:sz w:val="18"/>
          <w:szCs w:val="18"/>
        </w:rPr>
        <w:t>CONTENIDO</w:t>
      </w:r>
    </w:p>
    <w:p w:rsidR="00F30286" w:rsidRPr="00700E68" w:rsidRDefault="00F30286" w:rsidP="00FD52A1">
      <w:pPr>
        <w:jc w:val="center"/>
        <w:rPr>
          <w:rFonts w:ascii="Arial" w:hAnsi="Arial" w:cs="Arial"/>
          <w:b/>
          <w:sz w:val="18"/>
          <w:szCs w:val="18"/>
        </w:rPr>
      </w:pPr>
    </w:p>
    <w:p w:rsidR="00F30286" w:rsidRPr="00700E68" w:rsidRDefault="00F30286" w:rsidP="00FD52A1">
      <w:pPr>
        <w:jc w:val="center"/>
        <w:rPr>
          <w:rFonts w:ascii="Arial" w:hAnsi="Arial" w:cs="Arial"/>
          <w:b/>
          <w:sz w:val="18"/>
          <w:szCs w:val="18"/>
        </w:rPr>
      </w:pPr>
    </w:p>
    <w:p w:rsidR="007664D5" w:rsidRPr="00700E68" w:rsidRDefault="00091363" w:rsidP="00FD52A1">
      <w:pPr>
        <w:jc w:val="both"/>
        <w:rPr>
          <w:rFonts w:ascii="Arial" w:hAnsi="Arial" w:cs="Arial"/>
          <w:b/>
          <w:sz w:val="18"/>
          <w:szCs w:val="18"/>
        </w:rPr>
      </w:pPr>
      <w:r w:rsidRPr="00700E68">
        <w:rPr>
          <w:rFonts w:ascii="Arial" w:hAnsi="Arial" w:cs="Arial"/>
          <w:b/>
          <w:sz w:val="18"/>
          <w:szCs w:val="18"/>
        </w:rPr>
        <w:tab/>
      </w:r>
      <w:r w:rsidRPr="00700E68">
        <w:rPr>
          <w:rFonts w:ascii="Arial" w:hAnsi="Arial" w:cs="Arial"/>
          <w:b/>
          <w:sz w:val="18"/>
          <w:szCs w:val="18"/>
        </w:rPr>
        <w:tab/>
      </w:r>
      <w:r w:rsidRPr="00700E68">
        <w:rPr>
          <w:rFonts w:ascii="Arial" w:hAnsi="Arial" w:cs="Arial"/>
          <w:b/>
          <w:sz w:val="18"/>
          <w:szCs w:val="18"/>
        </w:rPr>
        <w:tab/>
      </w:r>
      <w:r w:rsidRPr="00700E68">
        <w:rPr>
          <w:rFonts w:ascii="Arial" w:hAnsi="Arial" w:cs="Arial"/>
          <w:b/>
          <w:sz w:val="18"/>
          <w:szCs w:val="18"/>
        </w:rPr>
        <w:tab/>
      </w:r>
      <w:r w:rsidRPr="00700E68">
        <w:rPr>
          <w:rFonts w:ascii="Arial" w:hAnsi="Arial" w:cs="Arial"/>
          <w:b/>
          <w:sz w:val="18"/>
          <w:szCs w:val="18"/>
        </w:rPr>
        <w:tab/>
      </w:r>
      <w:r w:rsidRPr="00700E68">
        <w:rPr>
          <w:rFonts w:ascii="Arial" w:hAnsi="Arial" w:cs="Arial"/>
          <w:b/>
          <w:sz w:val="18"/>
          <w:szCs w:val="18"/>
        </w:rPr>
        <w:tab/>
      </w:r>
      <w:r w:rsidRPr="00700E68">
        <w:rPr>
          <w:rFonts w:ascii="Arial" w:hAnsi="Arial" w:cs="Arial"/>
          <w:b/>
          <w:sz w:val="18"/>
          <w:szCs w:val="18"/>
        </w:rPr>
        <w:tab/>
      </w:r>
      <w:r w:rsidRPr="00700E68">
        <w:rPr>
          <w:rFonts w:ascii="Arial" w:hAnsi="Arial" w:cs="Arial"/>
          <w:b/>
          <w:sz w:val="18"/>
          <w:szCs w:val="18"/>
        </w:rPr>
        <w:tab/>
      </w:r>
      <w:r w:rsidRPr="00700E68">
        <w:rPr>
          <w:rFonts w:ascii="Arial" w:hAnsi="Arial" w:cs="Arial"/>
          <w:b/>
          <w:sz w:val="18"/>
          <w:szCs w:val="18"/>
        </w:rPr>
        <w:tab/>
      </w:r>
      <w:r w:rsidRPr="00700E68">
        <w:rPr>
          <w:rFonts w:ascii="Arial" w:hAnsi="Arial" w:cs="Arial"/>
          <w:b/>
          <w:sz w:val="18"/>
          <w:szCs w:val="18"/>
        </w:rPr>
        <w:tab/>
        <w:t xml:space="preserve">        </w:t>
      </w:r>
      <w:r w:rsidR="00F12F21" w:rsidRPr="00700E68">
        <w:rPr>
          <w:rFonts w:ascii="Arial" w:hAnsi="Arial" w:cs="Arial"/>
          <w:b/>
          <w:sz w:val="18"/>
          <w:szCs w:val="18"/>
        </w:rPr>
        <w:t xml:space="preserve">    </w:t>
      </w:r>
    </w:p>
    <w:tbl>
      <w:tblPr>
        <w:tblW w:w="9992" w:type="dxa"/>
        <w:tblInd w:w="70" w:type="dxa"/>
        <w:tblCellMar>
          <w:left w:w="70" w:type="dxa"/>
          <w:right w:w="70" w:type="dxa"/>
        </w:tblCellMar>
        <w:tblLook w:val="04A0" w:firstRow="1" w:lastRow="0" w:firstColumn="1" w:lastColumn="0" w:noHBand="0" w:noVBand="1"/>
      </w:tblPr>
      <w:tblGrid>
        <w:gridCol w:w="8856"/>
        <w:gridCol w:w="1136"/>
      </w:tblGrid>
      <w:tr w:rsidR="003978E3" w:rsidRPr="00700E68" w:rsidTr="008A1BA6">
        <w:trPr>
          <w:trHeight w:val="240"/>
        </w:trPr>
        <w:tc>
          <w:tcPr>
            <w:tcW w:w="8856" w:type="dxa"/>
            <w:tcBorders>
              <w:top w:val="nil"/>
              <w:left w:val="nil"/>
              <w:bottom w:val="nil"/>
              <w:right w:val="nil"/>
            </w:tcBorders>
            <w:shd w:val="clear" w:color="000000" w:fill="FFFFFF"/>
            <w:noWrap/>
            <w:vAlign w:val="center"/>
            <w:hideMark/>
          </w:tcPr>
          <w:p w:rsidR="003978E3" w:rsidRPr="00700E68" w:rsidRDefault="003978E3" w:rsidP="003978E3">
            <w:pPr>
              <w:jc w:val="both"/>
              <w:rPr>
                <w:rFonts w:ascii="Arial" w:hAnsi="Arial" w:cs="Arial"/>
                <w:b/>
                <w:snapToGrid/>
                <w:color w:val="000000"/>
                <w:sz w:val="18"/>
                <w:szCs w:val="18"/>
                <w:lang w:val="es-CO" w:eastAsia="es-CO"/>
              </w:rPr>
            </w:pPr>
            <w:bookmarkStart w:id="0" w:name="RANGE!B2:B15"/>
            <w:r w:rsidRPr="00700E68">
              <w:rPr>
                <w:rFonts w:ascii="Arial" w:hAnsi="Arial" w:cs="Arial"/>
                <w:b/>
                <w:snapToGrid/>
                <w:color w:val="000000"/>
                <w:sz w:val="18"/>
                <w:szCs w:val="18"/>
                <w:lang w:val="es-CO" w:eastAsia="es-CO"/>
              </w:rPr>
              <w:t>1</w:t>
            </w:r>
            <w:r w:rsidR="00F47F80" w:rsidRPr="00700E68">
              <w:rPr>
                <w:rFonts w:ascii="Arial" w:hAnsi="Arial" w:cs="Arial"/>
                <w:b/>
                <w:snapToGrid/>
                <w:color w:val="000000"/>
                <w:sz w:val="18"/>
                <w:szCs w:val="18"/>
                <w:lang w:val="es-CO" w:eastAsia="es-CO"/>
              </w:rPr>
              <w:t xml:space="preserve">     CONSIDERACIONES GENERALES</w:t>
            </w:r>
            <w:bookmarkEnd w:id="0"/>
          </w:p>
          <w:p w:rsidR="00F47F80" w:rsidRPr="00700E68" w:rsidRDefault="00F47F80" w:rsidP="003978E3">
            <w:pPr>
              <w:jc w:val="both"/>
              <w:rPr>
                <w:rFonts w:ascii="Arial" w:hAnsi="Arial" w:cs="Arial"/>
                <w:snapToGrid/>
                <w:color w:val="000000"/>
                <w:sz w:val="18"/>
                <w:szCs w:val="18"/>
                <w:lang w:val="es-CO" w:eastAsia="es-CO"/>
              </w:rPr>
            </w:pPr>
          </w:p>
        </w:tc>
        <w:tc>
          <w:tcPr>
            <w:tcW w:w="1136" w:type="dxa"/>
            <w:tcBorders>
              <w:top w:val="nil"/>
              <w:left w:val="nil"/>
              <w:bottom w:val="nil"/>
              <w:right w:val="nil"/>
            </w:tcBorders>
            <w:shd w:val="clear" w:color="000000" w:fill="FFFFFF"/>
            <w:noWrap/>
            <w:vAlign w:val="bottom"/>
          </w:tcPr>
          <w:p w:rsidR="003978E3" w:rsidRPr="00700E68" w:rsidRDefault="003978E3" w:rsidP="003978E3">
            <w:pPr>
              <w:jc w:val="center"/>
              <w:rPr>
                <w:rFonts w:ascii="Arial" w:hAnsi="Arial" w:cs="Arial"/>
                <w:snapToGrid/>
                <w:color w:val="000000"/>
                <w:sz w:val="18"/>
                <w:szCs w:val="18"/>
                <w:lang w:val="es-CO" w:eastAsia="es-CO"/>
              </w:rPr>
            </w:pPr>
          </w:p>
        </w:tc>
      </w:tr>
      <w:tr w:rsidR="003978E3" w:rsidRPr="00700E68" w:rsidTr="008A1BA6">
        <w:trPr>
          <w:trHeight w:val="240"/>
        </w:trPr>
        <w:tc>
          <w:tcPr>
            <w:tcW w:w="8856" w:type="dxa"/>
            <w:tcBorders>
              <w:top w:val="nil"/>
              <w:left w:val="nil"/>
              <w:bottom w:val="nil"/>
              <w:right w:val="nil"/>
            </w:tcBorders>
            <w:shd w:val="clear" w:color="000000" w:fill="FFFFFF"/>
            <w:noWrap/>
            <w:vAlign w:val="bottom"/>
            <w:hideMark/>
          </w:tcPr>
          <w:p w:rsidR="003978E3" w:rsidRPr="00700E68" w:rsidRDefault="003978E3" w:rsidP="00F47F80">
            <w:pPr>
              <w:pStyle w:val="Prrafodelista"/>
              <w:numPr>
                <w:ilvl w:val="1"/>
                <w:numId w:val="39"/>
              </w:numP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Ámbito de aplicación</w:t>
            </w:r>
          </w:p>
          <w:p w:rsidR="00F47F80" w:rsidRPr="00700E68" w:rsidRDefault="00F47F80" w:rsidP="00F47F80">
            <w:pPr>
              <w:rPr>
                <w:rFonts w:ascii="Arial" w:hAnsi="Arial" w:cs="Arial"/>
                <w:snapToGrid/>
                <w:color w:val="000000"/>
                <w:sz w:val="18"/>
                <w:szCs w:val="18"/>
                <w:lang w:val="es-CO" w:eastAsia="es-CO"/>
              </w:rPr>
            </w:pPr>
          </w:p>
          <w:p w:rsidR="00F30286" w:rsidRPr="00700E68" w:rsidRDefault="00F30286" w:rsidP="00F47F80">
            <w:pPr>
              <w:rPr>
                <w:rFonts w:ascii="Arial" w:hAnsi="Arial" w:cs="Arial"/>
                <w:snapToGrid/>
                <w:color w:val="000000"/>
                <w:sz w:val="18"/>
                <w:szCs w:val="18"/>
                <w:lang w:val="es-CO" w:eastAsia="es-CO"/>
              </w:rPr>
            </w:pPr>
          </w:p>
        </w:tc>
        <w:tc>
          <w:tcPr>
            <w:tcW w:w="1136" w:type="dxa"/>
            <w:tcBorders>
              <w:top w:val="nil"/>
              <w:left w:val="nil"/>
              <w:bottom w:val="nil"/>
              <w:right w:val="nil"/>
            </w:tcBorders>
            <w:shd w:val="clear" w:color="000000" w:fill="FFFFFF"/>
            <w:noWrap/>
            <w:vAlign w:val="bottom"/>
          </w:tcPr>
          <w:p w:rsidR="003978E3" w:rsidRPr="00700E68" w:rsidRDefault="003978E3" w:rsidP="003978E3">
            <w:pPr>
              <w:jc w:val="center"/>
              <w:rPr>
                <w:rFonts w:ascii="Arial" w:hAnsi="Arial" w:cs="Arial"/>
                <w:snapToGrid/>
                <w:color w:val="000000"/>
                <w:sz w:val="18"/>
                <w:szCs w:val="18"/>
                <w:lang w:val="es-CO" w:eastAsia="es-CO"/>
              </w:rPr>
            </w:pPr>
          </w:p>
        </w:tc>
      </w:tr>
      <w:tr w:rsidR="003978E3" w:rsidRPr="00700E68" w:rsidTr="008A1BA6">
        <w:trPr>
          <w:trHeight w:val="240"/>
        </w:trPr>
        <w:tc>
          <w:tcPr>
            <w:tcW w:w="8856" w:type="dxa"/>
            <w:tcBorders>
              <w:top w:val="nil"/>
              <w:left w:val="nil"/>
              <w:bottom w:val="nil"/>
              <w:right w:val="nil"/>
            </w:tcBorders>
            <w:shd w:val="clear" w:color="000000" w:fill="FFFFFF"/>
            <w:noWrap/>
            <w:vAlign w:val="center"/>
            <w:hideMark/>
          </w:tcPr>
          <w:p w:rsidR="003978E3" w:rsidRPr="00700E68" w:rsidRDefault="00F47F80" w:rsidP="00F47F80">
            <w:pPr>
              <w:pStyle w:val="Prrafodelista"/>
              <w:numPr>
                <w:ilvl w:val="0"/>
                <w:numId w:val="39"/>
              </w:numPr>
              <w:jc w:val="both"/>
              <w:rPr>
                <w:rFonts w:ascii="Arial" w:hAnsi="Arial" w:cs="Arial"/>
                <w:b/>
                <w:snapToGrid/>
                <w:color w:val="000000"/>
                <w:sz w:val="18"/>
                <w:szCs w:val="18"/>
                <w:lang w:val="es-CO" w:eastAsia="es-CO"/>
              </w:rPr>
            </w:pPr>
            <w:r w:rsidRPr="00700E68">
              <w:rPr>
                <w:rFonts w:ascii="Arial" w:hAnsi="Arial" w:cs="Arial"/>
                <w:b/>
                <w:snapToGrid/>
                <w:color w:val="000000"/>
                <w:sz w:val="18"/>
                <w:szCs w:val="18"/>
                <w:lang w:val="es-CO" w:eastAsia="es-CO"/>
              </w:rPr>
              <w:t>DEFINICIÓN Y CÁLCULO DE</w:t>
            </w:r>
            <w:r w:rsidR="0070399A" w:rsidRPr="00700E68">
              <w:rPr>
                <w:rFonts w:ascii="Arial" w:hAnsi="Arial" w:cs="Arial"/>
                <w:b/>
                <w:snapToGrid/>
                <w:color w:val="000000"/>
                <w:sz w:val="18"/>
                <w:szCs w:val="18"/>
                <w:lang w:val="es-CO" w:eastAsia="es-CO"/>
              </w:rPr>
              <w:t>L PATRIMONIO TÉ</w:t>
            </w:r>
            <w:r w:rsidRPr="00700E68">
              <w:rPr>
                <w:rFonts w:ascii="Arial" w:hAnsi="Arial" w:cs="Arial"/>
                <w:b/>
                <w:snapToGrid/>
                <w:color w:val="000000"/>
                <w:sz w:val="18"/>
                <w:szCs w:val="18"/>
                <w:lang w:val="es-CO" w:eastAsia="es-CO"/>
              </w:rPr>
              <w:t xml:space="preserve">CNICO Y </w:t>
            </w:r>
            <w:r w:rsidR="000C0F2B" w:rsidRPr="00700E68">
              <w:rPr>
                <w:rFonts w:ascii="Arial" w:hAnsi="Arial" w:cs="Arial"/>
                <w:b/>
                <w:snapToGrid/>
                <w:color w:val="000000"/>
                <w:sz w:val="18"/>
                <w:szCs w:val="18"/>
                <w:lang w:val="es-CO" w:eastAsia="es-CO"/>
              </w:rPr>
              <w:t xml:space="preserve">DE </w:t>
            </w:r>
            <w:r w:rsidRPr="00700E68">
              <w:rPr>
                <w:rFonts w:ascii="Arial" w:hAnsi="Arial" w:cs="Arial"/>
                <w:b/>
                <w:snapToGrid/>
                <w:color w:val="000000"/>
                <w:sz w:val="18"/>
                <w:szCs w:val="18"/>
                <w:lang w:val="es-CO" w:eastAsia="es-CO"/>
              </w:rPr>
              <w:t>LAS RELACIONES MÍNIMAS DE SOLVENCIA</w:t>
            </w:r>
          </w:p>
          <w:p w:rsidR="00F47F80" w:rsidRPr="00700E68" w:rsidRDefault="00F47F80" w:rsidP="00F47F80">
            <w:pPr>
              <w:pStyle w:val="Prrafodelista"/>
              <w:ind w:left="360"/>
              <w:jc w:val="both"/>
              <w:rPr>
                <w:rFonts w:ascii="Arial" w:hAnsi="Arial" w:cs="Arial"/>
                <w:b/>
                <w:snapToGrid/>
                <w:color w:val="000000"/>
                <w:sz w:val="18"/>
                <w:szCs w:val="18"/>
                <w:lang w:val="es-CO" w:eastAsia="es-CO"/>
              </w:rPr>
            </w:pPr>
          </w:p>
          <w:p w:rsidR="00F47F80" w:rsidRPr="00700E68" w:rsidRDefault="00F47F80" w:rsidP="003978E3">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2.1 Relaciones Mínimas de Solvencia</w:t>
            </w:r>
          </w:p>
          <w:p w:rsidR="00F47F80" w:rsidRPr="00700E68" w:rsidRDefault="00F47F80" w:rsidP="003978E3">
            <w:pPr>
              <w:jc w:val="both"/>
              <w:rPr>
                <w:rFonts w:ascii="Arial" w:hAnsi="Arial" w:cs="Arial"/>
                <w:snapToGrid/>
                <w:color w:val="000000"/>
                <w:sz w:val="18"/>
                <w:szCs w:val="18"/>
                <w:lang w:val="es-CO" w:eastAsia="es-CO"/>
              </w:rPr>
            </w:pPr>
          </w:p>
        </w:tc>
        <w:tc>
          <w:tcPr>
            <w:tcW w:w="1136" w:type="dxa"/>
            <w:tcBorders>
              <w:top w:val="nil"/>
              <w:left w:val="nil"/>
              <w:bottom w:val="nil"/>
              <w:right w:val="nil"/>
            </w:tcBorders>
            <w:shd w:val="clear" w:color="000000" w:fill="FFFFFF"/>
            <w:noWrap/>
            <w:vAlign w:val="center"/>
          </w:tcPr>
          <w:p w:rsidR="003978E3" w:rsidRPr="00700E68" w:rsidRDefault="003978E3" w:rsidP="003978E3">
            <w:pPr>
              <w:jc w:val="center"/>
              <w:rPr>
                <w:rFonts w:ascii="Arial" w:hAnsi="Arial" w:cs="Arial"/>
                <w:snapToGrid/>
                <w:color w:val="000000"/>
                <w:sz w:val="18"/>
                <w:szCs w:val="18"/>
                <w:lang w:val="es-CO" w:eastAsia="es-CO"/>
              </w:rPr>
            </w:pPr>
          </w:p>
        </w:tc>
      </w:tr>
      <w:tr w:rsidR="003978E3" w:rsidRPr="00700E68" w:rsidTr="008A1BA6">
        <w:trPr>
          <w:trHeight w:val="240"/>
        </w:trPr>
        <w:tc>
          <w:tcPr>
            <w:tcW w:w="8856" w:type="dxa"/>
            <w:tcBorders>
              <w:top w:val="nil"/>
              <w:left w:val="nil"/>
              <w:bottom w:val="nil"/>
              <w:right w:val="nil"/>
            </w:tcBorders>
            <w:shd w:val="clear" w:color="000000" w:fill="FFFFFF"/>
            <w:noWrap/>
            <w:vAlign w:val="center"/>
            <w:hideMark/>
          </w:tcPr>
          <w:p w:rsidR="003978E3" w:rsidRPr="00700E68" w:rsidRDefault="003978E3" w:rsidP="00F47F80">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2.</w:t>
            </w:r>
            <w:r w:rsidR="00F47F80" w:rsidRPr="00700E68">
              <w:rPr>
                <w:rFonts w:ascii="Arial" w:hAnsi="Arial" w:cs="Arial"/>
                <w:snapToGrid/>
                <w:color w:val="000000"/>
                <w:sz w:val="18"/>
                <w:szCs w:val="18"/>
                <w:lang w:val="es-CO" w:eastAsia="es-CO"/>
              </w:rPr>
              <w:t>2</w:t>
            </w:r>
            <w:r w:rsidRPr="00700E68">
              <w:rPr>
                <w:rFonts w:ascii="Arial" w:hAnsi="Arial" w:cs="Arial"/>
                <w:snapToGrid/>
                <w:color w:val="000000"/>
                <w:sz w:val="18"/>
                <w:szCs w:val="18"/>
                <w:lang w:val="es-CO" w:eastAsia="es-CO"/>
              </w:rPr>
              <w:t xml:space="preserve"> Patrimonio Técnico</w:t>
            </w:r>
          </w:p>
          <w:p w:rsidR="00F47F80" w:rsidRPr="00700E68" w:rsidRDefault="00F47F80" w:rsidP="00F47F80">
            <w:pPr>
              <w:jc w:val="both"/>
              <w:rPr>
                <w:rFonts w:ascii="Arial" w:hAnsi="Arial" w:cs="Arial"/>
                <w:snapToGrid/>
                <w:color w:val="000000"/>
                <w:sz w:val="18"/>
                <w:szCs w:val="18"/>
                <w:lang w:val="es-CO" w:eastAsia="es-CO"/>
              </w:rPr>
            </w:pPr>
          </w:p>
        </w:tc>
        <w:tc>
          <w:tcPr>
            <w:tcW w:w="1136" w:type="dxa"/>
            <w:tcBorders>
              <w:top w:val="nil"/>
              <w:left w:val="nil"/>
              <w:bottom w:val="nil"/>
              <w:right w:val="nil"/>
            </w:tcBorders>
            <w:shd w:val="clear" w:color="000000" w:fill="FFFFFF"/>
            <w:noWrap/>
            <w:vAlign w:val="center"/>
          </w:tcPr>
          <w:p w:rsidR="003978E3" w:rsidRPr="00700E68" w:rsidRDefault="003978E3" w:rsidP="00435A22">
            <w:pPr>
              <w:jc w:val="center"/>
              <w:rPr>
                <w:rFonts w:ascii="Arial" w:hAnsi="Arial" w:cs="Arial"/>
                <w:snapToGrid/>
                <w:color w:val="000000"/>
                <w:sz w:val="18"/>
                <w:szCs w:val="18"/>
                <w:lang w:val="es-CO" w:eastAsia="es-CO"/>
              </w:rPr>
            </w:pPr>
          </w:p>
        </w:tc>
      </w:tr>
      <w:tr w:rsidR="003978E3" w:rsidRPr="00700E68" w:rsidTr="008A1BA6">
        <w:trPr>
          <w:trHeight w:val="240"/>
        </w:trPr>
        <w:tc>
          <w:tcPr>
            <w:tcW w:w="8856" w:type="dxa"/>
            <w:tcBorders>
              <w:top w:val="nil"/>
              <w:left w:val="nil"/>
              <w:bottom w:val="nil"/>
              <w:right w:val="nil"/>
            </w:tcBorders>
            <w:shd w:val="clear" w:color="000000" w:fill="FFFFFF"/>
            <w:noWrap/>
            <w:vAlign w:val="center"/>
            <w:hideMark/>
          </w:tcPr>
          <w:p w:rsidR="00796CC5" w:rsidRPr="00700E68" w:rsidRDefault="00796CC5" w:rsidP="00796CC5">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 xml:space="preserve">2.2.1 Clasificación de las acciones e instrumentos de deuda subordinada  </w:t>
            </w:r>
          </w:p>
          <w:p w:rsidR="00796CC5" w:rsidRPr="00700E68" w:rsidRDefault="00796CC5" w:rsidP="003978E3">
            <w:pPr>
              <w:jc w:val="both"/>
              <w:rPr>
                <w:rFonts w:ascii="Arial" w:hAnsi="Arial" w:cs="Arial"/>
                <w:snapToGrid/>
                <w:color w:val="000000"/>
                <w:sz w:val="18"/>
                <w:szCs w:val="18"/>
                <w:lang w:val="es-CO" w:eastAsia="es-CO"/>
              </w:rPr>
            </w:pPr>
          </w:p>
          <w:p w:rsidR="003978E3" w:rsidRPr="00700E68" w:rsidRDefault="00F47F80" w:rsidP="003978E3">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2.2</w:t>
            </w:r>
            <w:r w:rsidR="003978E3" w:rsidRPr="00700E68">
              <w:rPr>
                <w:rFonts w:ascii="Arial" w:hAnsi="Arial" w:cs="Arial"/>
                <w:snapToGrid/>
                <w:color w:val="000000"/>
                <w:sz w:val="18"/>
                <w:szCs w:val="18"/>
                <w:lang w:val="es-CO" w:eastAsia="es-CO"/>
              </w:rPr>
              <w:t>.</w:t>
            </w:r>
            <w:r w:rsidR="00796CC5" w:rsidRPr="00700E68">
              <w:rPr>
                <w:rFonts w:ascii="Arial" w:hAnsi="Arial" w:cs="Arial"/>
                <w:snapToGrid/>
                <w:color w:val="000000"/>
                <w:sz w:val="18"/>
                <w:szCs w:val="18"/>
                <w:lang w:val="es-CO" w:eastAsia="es-CO"/>
              </w:rPr>
              <w:t>2</w:t>
            </w:r>
            <w:r w:rsidR="003978E3" w:rsidRPr="00700E68">
              <w:rPr>
                <w:rFonts w:ascii="Arial" w:hAnsi="Arial" w:cs="Arial"/>
                <w:snapToGrid/>
                <w:color w:val="000000"/>
                <w:sz w:val="18"/>
                <w:szCs w:val="18"/>
                <w:lang w:val="es-CO" w:eastAsia="es-CO"/>
              </w:rPr>
              <w:t xml:space="preserve"> Patrimonio Básico Ordinario</w:t>
            </w:r>
          </w:p>
          <w:p w:rsidR="00F47F80" w:rsidRPr="00700E68" w:rsidRDefault="00F47F80" w:rsidP="003978E3">
            <w:pPr>
              <w:jc w:val="both"/>
              <w:rPr>
                <w:rFonts w:ascii="Arial" w:hAnsi="Arial" w:cs="Arial"/>
                <w:snapToGrid/>
                <w:color w:val="000000"/>
                <w:sz w:val="18"/>
                <w:szCs w:val="18"/>
                <w:lang w:val="es-CO" w:eastAsia="es-CO"/>
              </w:rPr>
            </w:pPr>
          </w:p>
        </w:tc>
        <w:tc>
          <w:tcPr>
            <w:tcW w:w="1136" w:type="dxa"/>
            <w:tcBorders>
              <w:top w:val="nil"/>
              <w:left w:val="nil"/>
              <w:bottom w:val="nil"/>
              <w:right w:val="nil"/>
            </w:tcBorders>
            <w:shd w:val="clear" w:color="000000" w:fill="FFFFFF"/>
            <w:noWrap/>
            <w:vAlign w:val="center"/>
          </w:tcPr>
          <w:p w:rsidR="003978E3" w:rsidRPr="00700E68" w:rsidRDefault="003978E3" w:rsidP="003978E3">
            <w:pPr>
              <w:jc w:val="center"/>
              <w:rPr>
                <w:rFonts w:ascii="Arial" w:hAnsi="Arial" w:cs="Arial"/>
                <w:snapToGrid/>
                <w:color w:val="000000"/>
                <w:sz w:val="18"/>
                <w:szCs w:val="18"/>
                <w:lang w:val="es-CO" w:eastAsia="es-CO"/>
              </w:rPr>
            </w:pPr>
          </w:p>
        </w:tc>
      </w:tr>
      <w:tr w:rsidR="003978E3" w:rsidRPr="00700E68" w:rsidTr="008A1BA6">
        <w:trPr>
          <w:trHeight w:val="240"/>
        </w:trPr>
        <w:tc>
          <w:tcPr>
            <w:tcW w:w="8856" w:type="dxa"/>
            <w:tcBorders>
              <w:top w:val="nil"/>
              <w:left w:val="nil"/>
              <w:bottom w:val="nil"/>
              <w:right w:val="nil"/>
            </w:tcBorders>
            <w:shd w:val="clear" w:color="000000" w:fill="FFFFFF"/>
            <w:noWrap/>
            <w:vAlign w:val="center"/>
            <w:hideMark/>
          </w:tcPr>
          <w:p w:rsidR="003978E3" w:rsidRPr="00700E68" w:rsidRDefault="00F47F80" w:rsidP="003978E3">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2.2</w:t>
            </w:r>
            <w:r w:rsidR="00796CC5" w:rsidRPr="00700E68">
              <w:rPr>
                <w:rFonts w:ascii="Arial" w:hAnsi="Arial" w:cs="Arial"/>
                <w:snapToGrid/>
                <w:color w:val="000000"/>
                <w:sz w:val="18"/>
                <w:szCs w:val="18"/>
                <w:lang w:val="es-CO" w:eastAsia="es-CO"/>
              </w:rPr>
              <w:t>.3</w:t>
            </w:r>
            <w:r w:rsidR="003978E3" w:rsidRPr="00700E68">
              <w:rPr>
                <w:rFonts w:ascii="Arial" w:hAnsi="Arial" w:cs="Arial"/>
                <w:snapToGrid/>
                <w:color w:val="000000"/>
                <w:sz w:val="18"/>
                <w:szCs w:val="18"/>
                <w:lang w:val="es-CO" w:eastAsia="es-CO"/>
              </w:rPr>
              <w:t xml:space="preserve"> Patrimonio Básico Adicional</w:t>
            </w:r>
          </w:p>
          <w:p w:rsidR="00F47F80" w:rsidRPr="00700E68" w:rsidRDefault="00F47F80" w:rsidP="003978E3">
            <w:pPr>
              <w:jc w:val="both"/>
              <w:rPr>
                <w:rFonts w:ascii="Arial" w:hAnsi="Arial" w:cs="Arial"/>
                <w:snapToGrid/>
                <w:color w:val="000000"/>
                <w:sz w:val="18"/>
                <w:szCs w:val="18"/>
                <w:lang w:val="es-CO" w:eastAsia="es-CO"/>
              </w:rPr>
            </w:pPr>
          </w:p>
        </w:tc>
        <w:tc>
          <w:tcPr>
            <w:tcW w:w="1136" w:type="dxa"/>
            <w:tcBorders>
              <w:top w:val="nil"/>
              <w:left w:val="nil"/>
              <w:bottom w:val="nil"/>
              <w:right w:val="nil"/>
            </w:tcBorders>
            <w:shd w:val="clear" w:color="000000" w:fill="FFFFFF"/>
            <w:noWrap/>
            <w:vAlign w:val="center"/>
          </w:tcPr>
          <w:p w:rsidR="003978E3" w:rsidRPr="00700E68" w:rsidRDefault="003978E3" w:rsidP="003978E3">
            <w:pPr>
              <w:jc w:val="center"/>
              <w:rPr>
                <w:rFonts w:ascii="Arial" w:hAnsi="Arial" w:cs="Arial"/>
                <w:snapToGrid/>
                <w:color w:val="000000"/>
                <w:sz w:val="18"/>
                <w:szCs w:val="18"/>
                <w:lang w:val="es-CO" w:eastAsia="es-CO"/>
              </w:rPr>
            </w:pPr>
          </w:p>
        </w:tc>
      </w:tr>
      <w:tr w:rsidR="003978E3" w:rsidRPr="00700E68" w:rsidTr="008A1BA6">
        <w:trPr>
          <w:trHeight w:val="240"/>
        </w:trPr>
        <w:tc>
          <w:tcPr>
            <w:tcW w:w="8856" w:type="dxa"/>
            <w:tcBorders>
              <w:top w:val="nil"/>
              <w:left w:val="nil"/>
              <w:bottom w:val="nil"/>
              <w:right w:val="nil"/>
            </w:tcBorders>
            <w:shd w:val="clear" w:color="000000" w:fill="FFFFFF"/>
            <w:noWrap/>
            <w:vAlign w:val="center"/>
            <w:hideMark/>
          </w:tcPr>
          <w:p w:rsidR="003978E3" w:rsidRPr="00700E68" w:rsidRDefault="00F47F80" w:rsidP="003978E3">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2.2</w:t>
            </w:r>
            <w:r w:rsidR="00796CC5" w:rsidRPr="00700E68">
              <w:rPr>
                <w:rFonts w:ascii="Arial" w:hAnsi="Arial" w:cs="Arial"/>
                <w:snapToGrid/>
                <w:color w:val="000000"/>
                <w:sz w:val="18"/>
                <w:szCs w:val="18"/>
                <w:lang w:val="es-CO" w:eastAsia="es-CO"/>
              </w:rPr>
              <w:t>.4</w:t>
            </w:r>
            <w:r w:rsidR="003978E3" w:rsidRPr="00700E68">
              <w:rPr>
                <w:rFonts w:ascii="Arial" w:hAnsi="Arial" w:cs="Arial"/>
                <w:snapToGrid/>
                <w:color w:val="000000"/>
                <w:sz w:val="18"/>
                <w:szCs w:val="18"/>
                <w:lang w:val="es-CO" w:eastAsia="es-CO"/>
              </w:rPr>
              <w:t xml:space="preserve"> Patrimonio Adicional</w:t>
            </w:r>
          </w:p>
          <w:p w:rsidR="00F47F80" w:rsidRPr="00700E68" w:rsidRDefault="00F47F80" w:rsidP="003978E3">
            <w:pPr>
              <w:jc w:val="both"/>
              <w:rPr>
                <w:rFonts w:ascii="Arial" w:hAnsi="Arial" w:cs="Arial"/>
                <w:snapToGrid/>
                <w:color w:val="000000"/>
                <w:sz w:val="18"/>
                <w:szCs w:val="18"/>
                <w:lang w:val="es-CO" w:eastAsia="es-CO"/>
              </w:rPr>
            </w:pPr>
          </w:p>
        </w:tc>
        <w:tc>
          <w:tcPr>
            <w:tcW w:w="1136" w:type="dxa"/>
            <w:tcBorders>
              <w:top w:val="nil"/>
              <w:left w:val="nil"/>
              <w:bottom w:val="nil"/>
              <w:right w:val="nil"/>
            </w:tcBorders>
            <w:shd w:val="clear" w:color="000000" w:fill="FFFFFF"/>
            <w:noWrap/>
            <w:vAlign w:val="center"/>
          </w:tcPr>
          <w:p w:rsidR="003978E3" w:rsidRPr="00700E68" w:rsidRDefault="003978E3" w:rsidP="003978E3">
            <w:pPr>
              <w:jc w:val="center"/>
              <w:rPr>
                <w:rFonts w:ascii="Arial" w:hAnsi="Arial" w:cs="Arial"/>
                <w:snapToGrid/>
                <w:color w:val="000000"/>
                <w:sz w:val="18"/>
                <w:szCs w:val="18"/>
                <w:lang w:val="es-CO" w:eastAsia="es-CO"/>
              </w:rPr>
            </w:pPr>
          </w:p>
        </w:tc>
      </w:tr>
      <w:tr w:rsidR="003978E3" w:rsidRPr="00700E68" w:rsidTr="008A1BA6">
        <w:trPr>
          <w:trHeight w:val="240"/>
        </w:trPr>
        <w:tc>
          <w:tcPr>
            <w:tcW w:w="8856" w:type="dxa"/>
            <w:tcBorders>
              <w:top w:val="nil"/>
              <w:left w:val="nil"/>
              <w:bottom w:val="nil"/>
              <w:right w:val="nil"/>
            </w:tcBorders>
            <w:shd w:val="clear" w:color="000000" w:fill="FFFFFF"/>
            <w:noWrap/>
            <w:vAlign w:val="center"/>
            <w:hideMark/>
          </w:tcPr>
          <w:p w:rsidR="003978E3" w:rsidRPr="00700E68" w:rsidRDefault="00F47F80" w:rsidP="003978E3">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2.2</w:t>
            </w:r>
            <w:r w:rsidR="00796CC5" w:rsidRPr="00700E68">
              <w:rPr>
                <w:rFonts w:ascii="Arial" w:hAnsi="Arial" w:cs="Arial"/>
                <w:snapToGrid/>
                <w:color w:val="000000"/>
                <w:sz w:val="18"/>
                <w:szCs w:val="18"/>
                <w:lang w:val="es-CO" w:eastAsia="es-CO"/>
              </w:rPr>
              <w:t>.5</w:t>
            </w:r>
            <w:r w:rsidR="001B6483" w:rsidRPr="00700E68">
              <w:rPr>
                <w:rFonts w:ascii="Arial" w:hAnsi="Arial" w:cs="Arial"/>
                <w:snapToGrid/>
                <w:color w:val="000000"/>
                <w:sz w:val="18"/>
                <w:szCs w:val="18"/>
                <w:lang w:val="es-CO" w:eastAsia="es-CO"/>
              </w:rPr>
              <w:t xml:space="preserve"> Deducciones </w:t>
            </w:r>
            <w:r w:rsidR="003978E3" w:rsidRPr="00700E68">
              <w:rPr>
                <w:rFonts w:ascii="Arial" w:hAnsi="Arial" w:cs="Arial"/>
                <w:snapToGrid/>
                <w:color w:val="000000"/>
                <w:sz w:val="18"/>
                <w:szCs w:val="18"/>
                <w:lang w:val="es-CO" w:eastAsia="es-CO"/>
              </w:rPr>
              <w:t>al Patrimonio Técnico</w:t>
            </w:r>
          </w:p>
          <w:p w:rsidR="00F47F80" w:rsidRPr="00700E68" w:rsidRDefault="00F47F80" w:rsidP="003978E3">
            <w:pPr>
              <w:jc w:val="both"/>
              <w:rPr>
                <w:rFonts w:ascii="Arial" w:hAnsi="Arial" w:cs="Arial"/>
                <w:snapToGrid/>
                <w:color w:val="000000"/>
                <w:sz w:val="18"/>
                <w:szCs w:val="18"/>
                <w:lang w:val="es-CO" w:eastAsia="es-CO"/>
              </w:rPr>
            </w:pPr>
          </w:p>
        </w:tc>
        <w:tc>
          <w:tcPr>
            <w:tcW w:w="1136" w:type="dxa"/>
            <w:tcBorders>
              <w:top w:val="nil"/>
              <w:left w:val="nil"/>
              <w:bottom w:val="nil"/>
              <w:right w:val="nil"/>
            </w:tcBorders>
            <w:shd w:val="clear" w:color="000000" w:fill="FFFFFF"/>
            <w:noWrap/>
            <w:vAlign w:val="center"/>
          </w:tcPr>
          <w:p w:rsidR="003978E3" w:rsidRPr="00700E68" w:rsidRDefault="003978E3" w:rsidP="003978E3">
            <w:pPr>
              <w:jc w:val="center"/>
              <w:rPr>
                <w:rFonts w:ascii="Arial" w:hAnsi="Arial" w:cs="Arial"/>
                <w:snapToGrid/>
                <w:color w:val="000000"/>
                <w:sz w:val="18"/>
                <w:szCs w:val="18"/>
                <w:lang w:val="es-CO" w:eastAsia="es-CO"/>
              </w:rPr>
            </w:pPr>
          </w:p>
        </w:tc>
      </w:tr>
      <w:tr w:rsidR="003978E3" w:rsidRPr="00700E68" w:rsidTr="008A1BA6">
        <w:trPr>
          <w:trHeight w:val="240"/>
        </w:trPr>
        <w:tc>
          <w:tcPr>
            <w:tcW w:w="8856" w:type="dxa"/>
            <w:tcBorders>
              <w:top w:val="nil"/>
              <w:left w:val="nil"/>
              <w:bottom w:val="nil"/>
              <w:right w:val="nil"/>
            </w:tcBorders>
            <w:shd w:val="clear" w:color="000000" w:fill="FFFFFF"/>
            <w:noWrap/>
            <w:vAlign w:val="center"/>
            <w:hideMark/>
          </w:tcPr>
          <w:p w:rsidR="003978E3" w:rsidRPr="00700E68" w:rsidRDefault="00F47F80" w:rsidP="003978E3">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2.2</w:t>
            </w:r>
            <w:r w:rsidR="00796CC5" w:rsidRPr="00700E68">
              <w:rPr>
                <w:rFonts w:ascii="Arial" w:hAnsi="Arial" w:cs="Arial"/>
                <w:snapToGrid/>
                <w:color w:val="000000"/>
                <w:sz w:val="18"/>
                <w:szCs w:val="18"/>
                <w:lang w:val="es-CO" w:eastAsia="es-CO"/>
              </w:rPr>
              <w:t>.6</w:t>
            </w:r>
            <w:r w:rsidR="00F30286" w:rsidRPr="00700E68">
              <w:rPr>
                <w:rFonts w:ascii="Arial" w:hAnsi="Arial" w:cs="Arial"/>
                <w:snapToGrid/>
                <w:color w:val="000000"/>
                <w:sz w:val="18"/>
                <w:szCs w:val="18"/>
                <w:lang w:val="es-CO" w:eastAsia="es-CO"/>
              </w:rPr>
              <w:t xml:space="preserve"> Interés M</w:t>
            </w:r>
            <w:r w:rsidR="003978E3" w:rsidRPr="00700E68">
              <w:rPr>
                <w:rFonts w:ascii="Arial" w:hAnsi="Arial" w:cs="Arial"/>
                <w:snapToGrid/>
                <w:color w:val="000000"/>
                <w:sz w:val="18"/>
                <w:szCs w:val="18"/>
                <w:lang w:val="es-CO" w:eastAsia="es-CO"/>
              </w:rPr>
              <w:t>inoritario</w:t>
            </w:r>
          </w:p>
          <w:p w:rsidR="00F47F80" w:rsidRPr="00700E68" w:rsidRDefault="00F47F80" w:rsidP="003978E3">
            <w:pPr>
              <w:jc w:val="both"/>
              <w:rPr>
                <w:rFonts w:ascii="Arial" w:hAnsi="Arial" w:cs="Arial"/>
                <w:snapToGrid/>
                <w:color w:val="000000"/>
                <w:sz w:val="18"/>
                <w:szCs w:val="18"/>
                <w:lang w:val="es-CO" w:eastAsia="es-CO"/>
              </w:rPr>
            </w:pPr>
          </w:p>
        </w:tc>
        <w:tc>
          <w:tcPr>
            <w:tcW w:w="1136" w:type="dxa"/>
            <w:tcBorders>
              <w:top w:val="nil"/>
              <w:left w:val="nil"/>
              <w:bottom w:val="nil"/>
              <w:right w:val="nil"/>
            </w:tcBorders>
            <w:shd w:val="clear" w:color="000000" w:fill="FFFFFF"/>
            <w:noWrap/>
            <w:vAlign w:val="center"/>
          </w:tcPr>
          <w:p w:rsidR="003978E3" w:rsidRPr="00700E68" w:rsidRDefault="003978E3" w:rsidP="00435A22">
            <w:pPr>
              <w:jc w:val="center"/>
              <w:rPr>
                <w:rFonts w:ascii="Arial" w:hAnsi="Arial" w:cs="Arial"/>
                <w:snapToGrid/>
                <w:color w:val="000000"/>
                <w:sz w:val="18"/>
                <w:szCs w:val="18"/>
                <w:lang w:val="es-CO" w:eastAsia="es-CO"/>
              </w:rPr>
            </w:pPr>
          </w:p>
        </w:tc>
      </w:tr>
      <w:tr w:rsidR="003978E3" w:rsidRPr="00700E68" w:rsidTr="008A1BA6">
        <w:trPr>
          <w:trHeight w:val="240"/>
        </w:trPr>
        <w:tc>
          <w:tcPr>
            <w:tcW w:w="8856" w:type="dxa"/>
            <w:tcBorders>
              <w:top w:val="nil"/>
              <w:left w:val="nil"/>
              <w:bottom w:val="nil"/>
              <w:right w:val="nil"/>
            </w:tcBorders>
            <w:shd w:val="clear" w:color="000000" w:fill="FFFFFF"/>
            <w:noWrap/>
            <w:vAlign w:val="center"/>
            <w:hideMark/>
          </w:tcPr>
          <w:p w:rsidR="003978E3" w:rsidRPr="00700E68" w:rsidRDefault="00F47F80" w:rsidP="003978E3">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2.3</w:t>
            </w:r>
            <w:r w:rsidR="003978E3" w:rsidRPr="00700E68">
              <w:rPr>
                <w:rFonts w:ascii="Arial" w:hAnsi="Arial" w:cs="Arial"/>
                <w:snapToGrid/>
                <w:color w:val="000000"/>
                <w:sz w:val="18"/>
                <w:szCs w:val="18"/>
                <w:lang w:val="es-CO" w:eastAsia="es-CO"/>
              </w:rPr>
              <w:t xml:space="preserve"> Activos Ponderados por Nivel de Riesgo</w:t>
            </w:r>
          </w:p>
          <w:p w:rsidR="00F47F80" w:rsidRPr="00700E68" w:rsidRDefault="00F47F80" w:rsidP="003978E3">
            <w:pPr>
              <w:jc w:val="both"/>
              <w:rPr>
                <w:rFonts w:ascii="Arial" w:hAnsi="Arial" w:cs="Arial"/>
                <w:snapToGrid/>
                <w:color w:val="000000"/>
                <w:sz w:val="18"/>
                <w:szCs w:val="18"/>
                <w:lang w:val="es-CO" w:eastAsia="es-CO"/>
              </w:rPr>
            </w:pPr>
          </w:p>
        </w:tc>
        <w:tc>
          <w:tcPr>
            <w:tcW w:w="1136" w:type="dxa"/>
            <w:tcBorders>
              <w:top w:val="nil"/>
              <w:left w:val="nil"/>
              <w:bottom w:val="nil"/>
              <w:right w:val="nil"/>
            </w:tcBorders>
            <w:shd w:val="clear" w:color="000000" w:fill="FFFFFF"/>
            <w:noWrap/>
            <w:vAlign w:val="center"/>
          </w:tcPr>
          <w:p w:rsidR="003978E3" w:rsidRPr="00700E68" w:rsidRDefault="003978E3" w:rsidP="003978E3">
            <w:pPr>
              <w:jc w:val="center"/>
              <w:rPr>
                <w:rFonts w:ascii="Arial" w:hAnsi="Arial" w:cs="Arial"/>
                <w:snapToGrid/>
                <w:color w:val="000000"/>
                <w:sz w:val="18"/>
                <w:szCs w:val="18"/>
                <w:lang w:val="es-CO" w:eastAsia="es-CO"/>
              </w:rPr>
            </w:pPr>
          </w:p>
        </w:tc>
      </w:tr>
      <w:tr w:rsidR="003978E3" w:rsidRPr="00700E68" w:rsidTr="008A1BA6">
        <w:trPr>
          <w:trHeight w:val="240"/>
        </w:trPr>
        <w:tc>
          <w:tcPr>
            <w:tcW w:w="8856" w:type="dxa"/>
            <w:tcBorders>
              <w:top w:val="nil"/>
              <w:left w:val="nil"/>
              <w:bottom w:val="nil"/>
              <w:right w:val="nil"/>
            </w:tcBorders>
            <w:shd w:val="clear" w:color="000000" w:fill="FFFFFF"/>
            <w:noWrap/>
            <w:vAlign w:val="center"/>
            <w:hideMark/>
          </w:tcPr>
          <w:p w:rsidR="003978E3" w:rsidRPr="00700E68" w:rsidRDefault="00F47F80" w:rsidP="003978E3">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2.4</w:t>
            </w:r>
            <w:r w:rsidR="003978E3" w:rsidRPr="00700E68">
              <w:rPr>
                <w:rFonts w:ascii="Arial" w:hAnsi="Arial" w:cs="Arial"/>
                <w:snapToGrid/>
                <w:color w:val="000000"/>
                <w:sz w:val="18"/>
                <w:szCs w:val="18"/>
                <w:lang w:val="es-CO" w:eastAsia="es-CO"/>
              </w:rPr>
              <w:t xml:space="preserve"> Riesgo de mercado</w:t>
            </w:r>
          </w:p>
        </w:tc>
        <w:tc>
          <w:tcPr>
            <w:tcW w:w="1136" w:type="dxa"/>
            <w:tcBorders>
              <w:top w:val="nil"/>
              <w:left w:val="nil"/>
              <w:bottom w:val="nil"/>
              <w:right w:val="nil"/>
            </w:tcBorders>
            <w:shd w:val="clear" w:color="000000" w:fill="FFFFFF"/>
            <w:noWrap/>
            <w:vAlign w:val="center"/>
          </w:tcPr>
          <w:p w:rsidR="003978E3" w:rsidRPr="00700E68" w:rsidRDefault="003978E3" w:rsidP="00435A22">
            <w:pPr>
              <w:jc w:val="center"/>
              <w:rPr>
                <w:rFonts w:ascii="Arial" w:hAnsi="Arial" w:cs="Arial"/>
                <w:snapToGrid/>
                <w:color w:val="000000"/>
                <w:sz w:val="18"/>
                <w:szCs w:val="18"/>
                <w:lang w:val="es-CO" w:eastAsia="es-CO"/>
              </w:rPr>
            </w:pPr>
          </w:p>
        </w:tc>
      </w:tr>
      <w:tr w:rsidR="003978E3" w:rsidRPr="00700E68" w:rsidTr="008A1BA6">
        <w:trPr>
          <w:trHeight w:val="240"/>
        </w:trPr>
        <w:tc>
          <w:tcPr>
            <w:tcW w:w="8856" w:type="dxa"/>
            <w:tcBorders>
              <w:top w:val="nil"/>
              <w:left w:val="nil"/>
              <w:bottom w:val="nil"/>
              <w:right w:val="nil"/>
            </w:tcBorders>
            <w:shd w:val="clear" w:color="000000" w:fill="FFFFFF"/>
            <w:noWrap/>
            <w:vAlign w:val="bottom"/>
            <w:hideMark/>
          </w:tcPr>
          <w:p w:rsidR="00F47F80" w:rsidRPr="00700E68" w:rsidRDefault="00F47F80" w:rsidP="003978E3">
            <w:pPr>
              <w:rPr>
                <w:rFonts w:ascii="Arial" w:hAnsi="Arial" w:cs="Arial"/>
                <w:b/>
                <w:snapToGrid/>
                <w:color w:val="000000"/>
                <w:sz w:val="18"/>
                <w:szCs w:val="18"/>
                <w:lang w:val="es-CO" w:eastAsia="es-CO"/>
              </w:rPr>
            </w:pPr>
          </w:p>
          <w:p w:rsidR="00F30286" w:rsidRPr="00700E68" w:rsidRDefault="00F30286" w:rsidP="003978E3">
            <w:pPr>
              <w:rPr>
                <w:rFonts w:ascii="Arial" w:hAnsi="Arial" w:cs="Arial"/>
                <w:b/>
                <w:snapToGrid/>
                <w:color w:val="000000"/>
                <w:sz w:val="18"/>
                <w:szCs w:val="18"/>
                <w:lang w:val="es-CO" w:eastAsia="es-CO"/>
              </w:rPr>
            </w:pPr>
          </w:p>
          <w:p w:rsidR="003978E3" w:rsidRPr="00700E68" w:rsidRDefault="00F47F80" w:rsidP="00707A33">
            <w:pPr>
              <w:ind w:left="356" w:hanging="356"/>
              <w:rPr>
                <w:rFonts w:ascii="Arial" w:hAnsi="Arial" w:cs="Arial"/>
                <w:b/>
                <w:snapToGrid/>
                <w:color w:val="000000"/>
                <w:sz w:val="18"/>
                <w:szCs w:val="18"/>
                <w:lang w:val="es-CO" w:eastAsia="es-CO"/>
              </w:rPr>
            </w:pPr>
            <w:r w:rsidRPr="00700E68">
              <w:rPr>
                <w:rFonts w:ascii="Arial" w:hAnsi="Arial" w:cs="Arial"/>
                <w:b/>
                <w:snapToGrid/>
                <w:color w:val="000000"/>
                <w:sz w:val="18"/>
                <w:szCs w:val="18"/>
                <w:lang w:val="es-CO" w:eastAsia="es-CO"/>
              </w:rPr>
              <w:t xml:space="preserve">3 </w:t>
            </w:r>
            <w:r w:rsidR="00707A33" w:rsidRPr="00700E68">
              <w:rPr>
                <w:rFonts w:ascii="Arial" w:hAnsi="Arial" w:cs="Arial"/>
                <w:b/>
                <w:snapToGrid/>
                <w:color w:val="000000"/>
                <w:sz w:val="18"/>
                <w:szCs w:val="18"/>
                <w:lang w:val="es-CO" w:eastAsia="es-CO"/>
              </w:rPr>
              <w:t xml:space="preserve">    </w:t>
            </w:r>
            <w:r w:rsidRPr="00700E68">
              <w:rPr>
                <w:rFonts w:ascii="Arial" w:hAnsi="Arial" w:cs="Arial"/>
                <w:b/>
                <w:snapToGrid/>
                <w:color w:val="000000"/>
                <w:sz w:val="18"/>
                <w:szCs w:val="18"/>
                <w:lang w:val="es-CO" w:eastAsia="es-CO"/>
              </w:rPr>
              <w:t>SANCIONES</w:t>
            </w:r>
          </w:p>
          <w:p w:rsidR="00F47F80" w:rsidRPr="00700E68" w:rsidRDefault="00F47F80" w:rsidP="003978E3">
            <w:pPr>
              <w:rPr>
                <w:rFonts w:ascii="Arial" w:hAnsi="Arial" w:cs="Arial"/>
                <w:b/>
                <w:snapToGrid/>
                <w:color w:val="000000"/>
                <w:sz w:val="18"/>
                <w:szCs w:val="18"/>
                <w:lang w:val="es-CO" w:eastAsia="es-CO"/>
              </w:rPr>
            </w:pPr>
          </w:p>
          <w:p w:rsidR="00F30286" w:rsidRPr="00700E68" w:rsidRDefault="00F30286" w:rsidP="003978E3">
            <w:pPr>
              <w:rPr>
                <w:rFonts w:ascii="Arial" w:hAnsi="Arial" w:cs="Arial"/>
                <w:b/>
                <w:snapToGrid/>
                <w:color w:val="000000"/>
                <w:sz w:val="18"/>
                <w:szCs w:val="18"/>
                <w:lang w:val="es-CO" w:eastAsia="es-CO"/>
              </w:rPr>
            </w:pPr>
          </w:p>
        </w:tc>
        <w:tc>
          <w:tcPr>
            <w:tcW w:w="1136" w:type="dxa"/>
            <w:tcBorders>
              <w:top w:val="nil"/>
              <w:left w:val="nil"/>
              <w:bottom w:val="nil"/>
              <w:right w:val="nil"/>
            </w:tcBorders>
            <w:shd w:val="clear" w:color="000000" w:fill="FFFFFF"/>
            <w:noWrap/>
            <w:vAlign w:val="center"/>
          </w:tcPr>
          <w:p w:rsidR="003978E3" w:rsidRPr="00700E68" w:rsidRDefault="003978E3" w:rsidP="003978E3">
            <w:pPr>
              <w:jc w:val="center"/>
              <w:rPr>
                <w:rFonts w:ascii="Arial" w:hAnsi="Arial" w:cs="Arial"/>
                <w:snapToGrid/>
                <w:color w:val="000000"/>
                <w:sz w:val="18"/>
                <w:szCs w:val="18"/>
                <w:lang w:val="es-CO" w:eastAsia="es-CO"/>
              </w:rPr>
            </w:pPr>
          </w:p>
        </w:tc>
      </w:tr>
      <w:tr w:rsidR="003978E3" w:rsidRPr="00700E68" w:rsidTr="008A1BA6">
        <w:trPr>
          <w:trHeight w:val="240"/>
        </w:trPr>
        <w:tc>
          <w:tcPr>
            <w:tcW w:w="8856" w:type="dxa"/>
            <w:tcBorders>
              <w:top w:val="nil"/>
              <w:left w:val="nil"/>
              <w:bottom w:val="nil"/>
              <w:right w:val="nil"/>
            </w:tcBorders>
            <w:shd w:val="clear" w:color="000000" w:fill="FFFFFF"/>
            <w:noWrap/>
            <w:vAlign w:val="center"/>
            <w:hideMark/>
          </w:tcPr>
          <w:p w:rsidR="003978E3" w:rsidRPr="00700E68" w:rsidRDefault="00F47F80" w:rsidP="003978E3">
            <w:pPr>
              <w:jc w:val="both"/>
              <w:rPr>
                <w:rFonts w:ascii="Arial" w:hAnsi="Arial" w:cs="Arial"/>
                <w:b/>
                <w:snapToGrid/>
                <w:color w:val="000000"/>
                <w:sz w:val="18"/>
                <w:szCs w:val="18"/>
                <w:lang w:val="es-CO" w:eastAsia="es-CO"/>
              </w:rPr>
            </w:pPr>
            <w:r w:rsidRPr="00700E68">
              <w:rPr>
                <w:rFonts w:ascii="Arial" w:hAnsi="Arial" w:cs="Arial"/>
                <w:b/>
                <w:snapToGrid/>
                <w:color w:val="000000"/>
                <w:sz w:val="18"/>
                <w:szCs w:val="18"/>
                <w:lang w:val="es-CO" w:eastAsia="es-CO"/>
              </w:rPr>
              <w:t xml:space="preserve">4 </w:t>
            </w:r>
            <w:r w:rsidR="00707A33" w:rsidRPr="00700E68">
              <w:rPr>
                <w:rFonts w:ascii="Arial" w:hAnsi="Arial" w:cs="Arial"/>
                <w:b/>
                <w:snapToGrid/>
                <w:color w:val="000000"/>
                <w:sz w:val="18"/>
                <w:szCs w:val="18"/>
                <w:lang w:val="es-CO" w:eastAsia="es-CO"/>
              </w:rPr>
              <w:t xml:space="preserve">    </w:t>
            </w:r>
            <w:r w:rsidRPr="00700E68">
              <w:rPr>
                <w:rFonts w:ascii="Arial" w:hAnsi="Arial" w:cs="Arial"/>
                <w:b/>
                <w:snapToGrid/>
                <w:color w:val="000000"/>
                <w:sz w:val="18"/>
                <w:szCs w:val="18"/>
                <w:lang w:val="es-CO" w:eastAsia="es-CO"/>
              </w:rPr>
              <w:t>PLAN DE AJUSTE</w:t>
            </w:r>
          </w:p>
          <w:p w:rsidR="00F47F80" w:rsidRPr="00700E68" w:rsidRDefault="00F47F80" w:rsidP="003978E3">
            <w:pPr>
              <w:jc w:val="both"/>
              <w:rPr>
                <w:rFonts w:ascii="Arial" w:hAnsi="Arial" w:cs="Arial"/>
                <w:snapToGrid/>
                <w:color w:val="000000"/>
                <w:sz w:val="18"/>
                <w:szCs w:val="18"/>
                <w:lang w:val="es-CO" w:eastAsia="es-CO"/>
              </w:rPr>
            </w:pPr>
          </w:p>
          <w:p w:rsidR="00F30286" w:rsidRPr="00700E68" w:rsidRDefault="00F30286" w:rsidP="003978E3">
            <w:pPr>
              <w:jc w:val="both"/>
              <w:rPr>
                <w:rFonts w:ascii="Arial" w:hAnsi="Arial" w:cs="Arial"/>
                <w:snapToGrid/>
                <w:color w:val="000000"/>
                <w:sz w:val="18"/>
                <w:szCs w:val="18"/>
                <w:lang w:val="es-CO" w:eastAsia="es-CO"/>
              </w:rPr>
            </w:pPr>
          </w:p>
        </w:tc>
        <w:tc>
          <w:tcPr>
            <w:tcW w:w="1136" w:type="dxa"/>
            <w:tcBorders>
              <w:top w:val="nil"/>
              <w:left w:val="nil"/>
              <w:bottom w:val="nil"/>
              <w:right w:val="nil"/>
            </w:tcBorders>
            <w:shd w:val="clear" w:color="000000" w:fill="FFFFFF"/>
            <w:noWrap/>
            <w:vAlign w:val="center"/>
          </w:tcPr>
          <w:p w:rsidR="003978E3" w:rsidRPr="00700E68" w:rsidRDefault="003978E3" w:rsidP="003978E3">
            <w:pPr>
              <w:jc w:val="center"/>
              <w:rPr>
                <w:rFonts w:ascii="Arial" w:hAnsi="Arial" w:cs="Arial"/>
                <w:snapToGrid/>
                <w:color w:val="000000"/>
                <w:sz w:val="18"/>
                <w:szCs w:val="18"/>
                <w:lang w:val="es-CO" w:eastAsia="es-CO"/>
              </w:rPr>
            </w:pPr>
          </w:p>
        </w:tc>
      </w:tr>
      <w:tr w:rsidR="003978E3" w:rsidRPr="00700E68" w:rsidTr="008A1BA6">
        <w:trPr>
          <w:trHeight w:val="240"/>
        </w:trPr>
        <w:tc>
          <w:tcPr>
            <w:tcW w:w="8856" w:type="dxa"/>
            <w:tcBorders>
              <w:top w:val="nil"/>
              <w:left w:val="nil"/>
              <w:bottom w:val="nil"/>
              <w:right w:val="nil"/>
            </w:tcBorders>
            <w:shd w:val="clear" w:color="000000" w:fill="FFFFFF"/>
            <w:noWrap/>
            <w:vAlign w:val="center"/>
            <w:hideMark/>
          </w:tcPr>
          <w:p w:rsidR="003978E3" w:rsidRPr="00700E68" w:rsidRDefault="00F47F80" w:rsidP="00707A33">
            <w:pPr>
              <w:rPr>
                <w:rFonts w:ascii="Arial" w:hAnsi="Arial" w:cs="Arial"/>
                <w:b/>
                <w:snapToGrid/>
                <w:color w:val="000000"/>
                <w:sz w:val="18"/>
                <w:szCs w:val="18"/>
                <w:lang w:val="es-CO" w:eastAsia="es-CO"/>
              </w:rPr>
            </w:pPr>
            <w:r w:rsidRPr="00700E68">
              <w:rPr>
                <w:rFonts w:ascii="Arial" w:hAnsi="Arial" w:cs="Arial"/>
                <w:b/>
                <w:snapToGrid/>
                <w:color w:val="000000"/>
                <w:sz w:val="18"/>
                <w:szCs w:val="18"/>
                <w:lang w:val="es-CO" w:eastAsia="es-CO"/>
              </w:rPr>
              <w:t xml:space="preserve">5 </w:t>
            </w:r>
            <w:r w:rsidR="00707A33" w:rsidRPr="00700E68">
              <w:rPr>
                <w:rFonts w:ascii="Arial" w:hAnsi="Arial" w:cs="Arial"/>
                <w:b/>
                <w:snapToGrid/>
                <w:color w:val="000000"/>
                <w:sz w:val="18"/>
                <w:szCs w:val="18"/>
                <w:lang w:val="es-CO" w:eastAsia="es-CO"/>
              </w:rPr>
              <w:t xml:space="preserve">    </w:t>
            </w:r>
            <w:r w:rsidRPr="00700E68">
              <w:rPr>
                <w:rFonts w:ascii="Arial" w:hAnsi="Arial" w:cs="Arial"/>
                <w:b/>
                <w:snapToGrid/>
                <w:color w:val="000000"/>
                <w:sz w:val="18"/>
                <w:szCs w:val="18"/>
                <w:lang w:val="es-CO" w:eastAsia="es-CO"/>
              </w:rPr>
              <w:t>REPORTE DE LA INFORMACIÓN</w:t>
            </w:r>
          </w:p>
        </w:tc>
        <w:tc>
          <w:tcPr>
            <w:tcW w:w="1136" w:type="dxa"/>
            <w:tcBorders>
              <w:top w:val="nil"/>
              <w:left w:val="nil"/>
              <w:bottom w:val="nil"/>
              <w:right w:val="nil"/>
            </w:tcBorders>
            <w:shd w:val="clear" w:color="000000" w:fill="FFFFFF"/>
            <w:noWrap/>
            <w:vAlign w:val="center"/>
          </w:tcPr>
          <w:p w:rsidR="003978E3" w:rsidRPr="00700E68" w:rsidRDefault="003978E3" w:rsidP="003978E3">
            <w:pPr>
              <w:jc w:val="center"/>
              <w:rPr>
                <w:rFonts w:ascii="Arial" w:hAnsi="Arial" w:cs="Arial"/>
                <w:snapToGrid/>
                <w:color w:val="000000"/>
                <w:sz w:val="18"/>
                <w:szCs w:val="18"/>
                <w:lang w:val="es-CO" w:eastAsia="es-CO"/>
              </w:rPr>
            </w:pPr>
          </w:p>
        </w:tc>
      </w:tr>
    </w:tbl>
    <w:p w:rsidR="00134D20" w:rsidRPr="00700E68" w:rsidRDefault="00134D20" w:rsidP="00FD52A1">
      <w:pPr>
        <w:jc w:val="both"/>
        <w:rPr>
          <w:rFonts w:ascii="Arial" w:hAnsi="Arial" w:cs="Arial"/>
          <w:b/>
          <w:sz w:val="18"/>
          <w:szCs w:val="18"/>
        </w:rPr>
      </w:pPr>
    </w:p>
    <w:p w:rsidR="00134D20" w:rsidRPr="00700E68" w:rsidRDefault="00134D20" w:rsidP="00FD52A1">
      <w:pPr>
        <w:jc w:val="both"/>
        <w:rPr>
          <w:rFonts w:ascii="Arial" w:hAnsi="Arial" w:cs="Arial"/>
          <w:b/>
          <w:sz w:val="18"/>
          <w:szCs w:val="18"/>
        </w:rPr>
      </w:pPr>
    </w:p>
    <w:p w:rsidR="00134D20" w:rsidRPr="00700E68" w:rsidRDefault="00134D20" w:rsidP="00FD52A1">
      <w:pPr>
        <w:jc w:val="both"/>
        <w:rPr>
          <w:rFonts w:ascii="Arial" w:hAnsi="Arial" w:cs="Arial"/>
          <w:b/>
          <w:sz w:val="18"/>
          <w:szCs w:val="18"/>
        </w:rPr>
      </w:pPr>
    </w:p>
    <w:p w:rsidR="00F12F21" w:rsidRPr="00700E68" w:rsidRDefault="00F12F21" w:rsidP="00FD52A1">
      <w:pPr>
        <w:jc w:val="both"/>
        <w:rPr>
          <w:rFonts w:ascii="Arial" w:hAnsi="Arial" w:cs="Arial"/>
          <w:b/>
          <w:sz w:val="18"/>
          <w:szCs w:val="18"/>
        </w:rPr>
      </w:pPr>
    </w:p>
    <w:p w:rsidR="001E11E0" w:rsidRPr="00700E68" w:rsidRDefault="001E11E0" w:rsidP="00FD52A1">
      <w:pPr>
        <w:jc w:val="both"/>
        <w:rPr>
          <w:rFonts w:ascii="Arial" w:hAnsi="Arial" w:cs="Arial"/>
          <w:b/>
          <w:sz w:val="18"/>
          <w:szCs w:val="18"/>
        </w:rPr>
      </w:pPr>
    </w:p>
    <w:p w:rsidR="001E11E0" w:rsidRPr="00700E68" w:rsidRDefault="001E11E0"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9640B6" w:rsidRPr="00700E68" w:rsidRDefault="009640B6"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5F30E7" w:rsidRPr="00700E68" w:rsidRDefault="005F30E7" w:rsidP="00FD52A1">
      <w:pPr>
        <w:jc w:val="both"/>
        <w:rPr>
          <w:rFonts w:ascii="Arial" w:hAnsi="Arial" w:cs="Arial"/>
          <w:b/>
          <w:sz w:val="18"/>
          <w:szCs w:val="18"/>
        </w:rPr>
      </w:pPr>
    </w:p>
    <w:p w:rsidR="000D4234" w:rsidRDefault="000D4234" w:rsidP="00FD52A1">
      <w:pPr>
        <w:jc w:val="both"/>
        <w:rPr>
          <w:rFonts w:ascii="Arial" w:hAnsi="Arial" w:cs="Arial"/>
          <w:b/>
          <w:sz w:val="18"/>
          <w:szCs w:val="18"/>
        </w:rPr>
        <w:sectPr w:rsidR="000D4234" w:rsidSect="001A3867">
          <w:headerReference w:type="default" r:id="rId9"/>
          <w:footerReference w:type="default" r:id="rId10"/>
          <w:pgSz w:w="12240" w:h="18720" w:code="14"/>
          <w:pgMar w:top="1148" w:right="1134" w:bottom="1701" w:left="1701" w:header="567" w:footer="567" w:gutter="0"/>
          <w:paperSrc w:first="15"/>
          <w:pgNumType w:start="60"/>
          <w:cols w:space="720"/>
          <w:noEndnote/>
          <w:docGrid w:linePitch="272"/>
        </w:sectPr>
      </w:pPr>
    </w:p>
    <w:p w:rsidR="000D4234" w:rsidRDefault="000D4234" w:rsidP="000D4234">
      <w:pPr>
        <w:jc w:val="both"/>
        <w:rPr>
          <w:rFonts w:ascii="Arial" w:hAnsi="Arial" w:cs="Arial"/>
          <w:b/>
          <w:sz w:val="18"/>
          <w:szCs w:val="18"/>
        </w:rPr>
      </w:pPr>
    </w:p>
    <w:p w:rsidR="000D4234" w:rsidRPr="00700E68" w:rsidRDefault="000D4234" w:rsidP="000D4234">
      <w:pPr>
        <w:jc w:val="both"/>
        <w:rPr>
          <w:rFonts w:ascii="Arial" w:hAnsi="Arial" w:cs="Arial"/>
          <w:b/>
          <w:sz w:val="18"/>
          <w:szCs w:val="18"/>
        </w:rPr>
      </w:pPr>
    </w:p>
    <w:p w:rsidR="000D4234" w:rsidRPr="007D7653" w:rsidRDefault="000D4234" w:rsidP="000D4234">
      <w:pPr>
        <w:pStyle w:val="Prrafodelista"/>
        <w:numPr>
          <w:ilvl w:val="0"/>
          <w:numId w:val="33"/>
        </w:numPr>
        <w:ind w:left="851" w:hanging="851"/>
        <w:jc w:val="both"/>
        <w:rPr>
          <w:rFonts w:ascii="Arial" w:hAnsi="Arial" w:cs="Arial"/>
          <w:b/>
          <w:sz w:val="18"/>
          <w:szCs w:val="18"/>
        </w:rPr>
      </w:pPr>
      <w:bookmarkStart w:id="1" w:name="_Toc354948161"/>
      <w:bookmarkStart w:id="2" w:name="_Toc354978976"/>
      <w:bookmarkStart w:id="3" w:name="_Toc354995207"/>
      <w:r w:rsidRPr="007D7653">
        <w:rPr>
          <w:rFonts w:ascii="Arial" w:hAnsi="Arial" w:cs="Arial"/>
          <w:b/>
          <w:sz w:val="18"/>
          <w:szCs w:val="18"/>
        </w:rPr>
        <w:t>CONSIDERACIONES GENERALES</w:t>
      </w:r>
      <w:bookmarkEnd w:id="1"/>
      <w:bookmarkEnd w:id="2"/>
      <w:bookmarkEnd w:id="3"/>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El presente Capítulo señala los criterios y parámetros que las entidades destinatarias del mismo deben observar para el cumplimiento del patrimonio adecuado y las relaciones mínimas de solvencia establecidas en el Título 1 del Libro 1 de la Parte 2 del Decreto 2555 de 2010. Lo anterior, con el objeto de que mantengan niveles adecuados de capital de buena calidad que les permitan absorber pérdidas inesperadas procedentes de la materialización de los riesgos a los cuales están expuestas, y de esta forma preservar la confianza del público en el sistema financiero y la estabilidad del mismo.  </w:t>
      </w:r>
    </w:p>
    <w:p w:rsidR="000D4234" w:rsidRPr="007D7653" w:rsidRDefault="000D4234" w:rsidP="000D4234">
      <w:pPr>
        <w:jc w:val="both"/>
        <w:rPr>
          <w:rFonts w:ascii="Arial" w:hAnsi="Arial" w:cs="Arial"/>
          <w:sz w:val="18"/>
          <w:szCs w:val="18"/>
        </w:rPr>
      </w:pPr>
    </w:p>
    <w:p w:rsidR="000D4234" w:rsidRPr="007D7653" w:rsidRDefault="000D4234" w:rsidP="000D4234">
      <w:pPr>
        <w:pStyle w:val="Prrafodelista"/>
        <w:numPr>
          <w:ilvl w:val="1"/>
          <w:numId w:val="21"/>
        </w:numPr>
        <w:ind w:left="851" w:hanging="851"/>
        <w:jc w:val="both"/>
        <w:rPr>
          <w:rFonts w:ascii="Arial" w:hAnsi="Arial" w:cs="Arial"/>
          <w:b/>
          <w:sz w:val="18"/>
          <w:szCs w:val="18"/>
        </w:rPr>
      </w:pPr>
      <w:r w:rsidRPr="007D7653">
        <w:rPr>
          <w:rFonts w:ascii="Arial" w:hAnsi="Arial" w:cs="Arial"/>
          <w:b/>
          <w:sz w:val="18"/>
          <w:szCs w:val="18"/>
        </w:rPr>
        <w:t>Ámbito de aplicación</w:t>
      </w:r>
    </w:p>
    <w:p w:rsidR="000D4234" w:rsidRPr="007D7653" w:rsidRDefault="000D4234" w:rsidP="000D4234">
      <w:pPr>
        <w:pStyle w:val="Prrafodelista"/>
        <w:jc w:val="both"/>
        <w:rPr>
          <w:rFonts w:ascii="Arial" w:hAnsi="Arial" w:cs="Arial"/>
          <w:sz w:val="18"/>
          <w:szCs w:val="18"/>
        </w:rPr>
      </w:pPr>
      <w:r w:rsidRPr="007D7653">
        <w:rPr>
          <w:rFonts w:ascii="Arial" w:hAnsi="Arial" w:cs="Arial"/>
          <w:sz w:val="18"/>
          <w:szCs w:val="18"/>
        </w:rPr>
        <w:t xml:space="preserve"> </w:t>
      </w:r>
    </w:p>
    <w:p w:rsidR="000D4234" w:rsidRPr="007D7653" w:rsidRDefault="000D4234" w:rsidP="000D4234">
      <w:pPr>
        <w:pBdr>
          <w:left w:val="single" w:sz="4" w:space="4" w:color="auto"/>
        </w:pBdr>
        <w:jc w:val="both"/>
        <w:rPr>
          <w:rFonts w:ascii="Arial" w:hAnsi="Arial" w:cs="Arial"/>
          <w:sz w:val="18"/>
          <w:szCs w:val="18"/>
        </w:rPr>
      </w:pPr>
      <w:r w:rsidRPr="007D7653">
        <w:rPr>
          <w:rFonts w:ascii="Arial" w:hAnsi="Arial" w:cs="Arial"/>
          <w:sz w:val="18"/>
          <w:szCs w:val="18"/>
        </w:rPr>
        <w:t>Las instrucciones impartidas en el presente Capítulo aplican a las siguientes entidades: Establecimientos</w:t>
      </w:r>
      <w:r w:rsidRPr="007D7653">
        <w:rPr>
          <w:rFonts w:ascii="Arial" w:hAnsi="Arial" w:cs="Arial"/>
          <w:b/>
          <w:sz w:val="18"/>
          <w:szCs w:val="18"/>
        </w:rPr>
        <w:t xml:space="preserve"> de Crédito,</w:t>
      </w:r>
      <w:r w:rsidRPr="007D7653">
        <w:rPr>
          <w:rFonts w:ascii="Arial" w:hAnsi="Arial" w:cs="Arial"/>
          <w:sz w:val="18"/>
          <w:szCs w:val="18"/>
        </w:rPr>
        <w:t xml:space="preserve"> </w:t>
      </w:r>
      <w:r w:rsidRPr="007D7653">
        <w:rPr>
          <w:rFonts w:ascii="Arial" w:hAnsi="Arial" w:cs="Arial"/>
          <w:b/>
          <w:sz w:val="18"/>
          <w:szCs w:val="18"/>
        </w:rPr>
        <w:t>Banco de Comercio Exterior de Colombia S.A. (</w:t>
      </w:r>
      <w:proofErr w:type="spellStart"/>
      <w:r w:rsidRPr="007D7653">
        <w:rPr>
          <w:rFonts w:ascii="Arial" w:hAnsi="Arial" w:cs="Arial"/>
          <w:b/>
          <w:sz w:val="18"/>
          <w:szCs w:val="18"/>
        </w:rPr>
        <w:t>Bancoldex</w:t>
      </w:r>
      <w:proofErr w:type="spellEnd"/>
      <w:r w:rsidRPr="007D7653">
        <w:rPr>
          <w:rFonts w:ascii="Arial" w:hAnsi="Arial" w:cs="Arial"/>
          <w:b/>
          <w:sz w:val="18"/>
          <w:szCs w:val="18"/>
        </w:rPr>
        <w:t>)</w:t>
      </w:r>
      <w:r w:rsidRPr="007D7653">
        <w:rPr>
          <w:rFonts w:ascii="Arial" w:hAnsi="Arial" w:cs="Arial"/>
          <w:sz w:val="18"/>
          <w:szCs w:val="18"/>
        </w:rPr>
        <w:t xml:space="preserve">, </w:t>
      </w:r>
      <w:r w:rsidRPr="007D7653">
        <w:rPr>
          <w:rFonts w:ascii="Arial" w:hAnsi="Arial" w:cs="Arial"/>
          <w:b/>
          <w:sz w:val="18"/>
          <w:szCs w:val="18"/>
        </w:rPr>
        <w:t>Caja Promotora de Vivienda Militar y de Policía</w:t>
      </w:r>
      <w:r w:rsidRPr="007D7653">
        <w:rPr>
          <w:rFonts w:ascii="Arial" w:hAnsi="Arial" w:cs="Arial"/>
          <w:sz w:val="18"/>
          <w:szCs w:val="18"/>
        </w:rPr>
        <w:t xml:space="preserve">, </w:t>
      </w:r>
      <w:r w:rsidRPr="007D7653">
        <w:rPr>
          <w:rFonts w:ascii="Arial" w:hAnsi="Arial" w:cs="Arial"/>
          <w:b/>
          <w:sz w:val="18"/>
          <w:szCs w:val="18"/>
        </w:rPr>
        <w:t>Financiera de Desarrollo Nacional S.A.</w:t>
      </w:r>
      <w:r w:rsidRPr="007D7653">
        <w:rPr>
          <w:rFonts w:ascii="Arial" w:hAnsi="Arial" w:cs="Arial"/>
          <w:sz w:val="18"/>
          <w:szCs w:val="18"/>
        </w:rPr>
        <w:t xml:space="preserve">, </w:t>
      </w:r>
      <w:r w:rsidRPr="007D7653">
        <w:rPr>
          <w:rFonts w:ascii="Arial" w:hAnsi="Arial" w:cs="Arial"/>
          <w:b/>
          <w:sz w:val="18"/>
          <w:szCs w:val="18"/>
        </w:rPr>
        <w:t>Financiera de Desarrollo Territorial (</w:t>
      </w:r>
      <w:proofErr w:type="spellStart"/>
      <w:r w:rsidRPr="007D7653">
        <w:rPr>
          <w:rFonts w:ascii="Arial" w:hAnsi="Arial" w:cs="Arial"/>
          <w:b/>
          <w:sz w:val="18"/>
          <w:szCs w:val="18"/>
        </w:rPr>
        <w:t>Findeter</w:t>
      </w:r>
      <w:proofErr w:type="spellEnd"/>
      <w:r w:rsidRPr="007D7653">
        <w:rPr>
          <w:rFonts w:ascii="Arial" w:hAnsi="Arial" w:cs="Arial"/>
          <w:b/>
          <w:sz w:val="18"/>
          <w:szCs w:val="18"/>
        </w:rPr>
        <w:t>)</w:t>
      </w:r>
      <w:r w:rsidRPr="007D7653">
        <w:rPr>
          <w:rFonts w:ascii="Arial" w:hAnsi="Arial" w:cs="Arial"/>
          <w:sz w:val="18"/>
          <w:szCs w:val="18"/>
        </w:rPr>
        <w:t xml:space="preserve">, </w:t>
      </w:r>
      <w:r w:rsidRPr="007D7653">
        <w:rPr>
          <w:rFonts w:ascii="Arial" w:hAnsi="Arial" w:cs="Arial"/>
          <w:b/>
          <w:sz w:val="18"/>
          <w:szCs w:val="18"/>
        </w:rPr>
        <w:t>Fondo Nacional del Ahorro (FNA)</w:t>
      </w:r>
      <w:r w:rsidRPr="007D7653">
        <w:rPr>
          <w:rFonts w:ascii="Arial" w:hAnsi="Arial" w:cs="Arial"/>
          <w:sz w:val="18"/>
          <w:szCs w:val="18"/>
        </w:rPr>
        <w:t xml:space="preserve">, </w:t>
      </w:r>
      <w:r w:rsidRPr="007D7653">
        <w:rPr>
          <w:rFonts w:ascii="Arial" w:hAnsi="Arial" w:cs="Arial"/>
          <w:b/>
          <w:sz w:val="18"/>
          <w:szCs w:val="18"/>
        </w:rPr>
        <w:t>Fondo para el Financiamiento del Sector Agropecuario (</w:t>
      </w:r>
      <w:proofErr w:type="spellStart"/>
      <w:r w:rsidRPr="007D7653">
        <w:rPr>
          <w:rFonts w:ascii="Arial" w:hAnsi="Arial" w:cs="Arial"/>
          <w:b/>
          <w:sz w:val="18"/>
          <w:szCs w:val="18"/>
        </w:rPr>
        <w:t>Finagro</w:t>
      </w:r>
      <w:proofErr w:type="spellEnd"/>
      <w:r w:rsidRPr="007D7653">
        <w:rPr>
          <w:rFonts w:ascii="Arial" w:hAnsi="Arial" w:cs="Arial"/>
          <w:sz w:val="18"/>
          <w:szCs w:val="18"/>
        </w:rPr>
        <w:t xml:space="preserve">) </w:t>
      </w:r>
      <w:r w:rsidRPr="007D7653">
        <w:rPr>
          <w:rFonts w:ascii="Arial" w:hAnsi="Arial" w:cs="Arial"/>
          <w:b/>
          <w:sz w:val="18"/>
          <w:szCs w:val="18"/>
        </w:rPr>
        <w:t>y los Organismos Cooperativos de Grado Superior de Carácter Financiero.</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Las entidades anteriormente relacionadas deben cumplir en todo momento las relaciones mínimas de solvencia a nivel individual y consolidado, así como reportar su cumplimiento individual de forma mensual y </w:t>
      </w:r>
      <w:proofErr w:type="gramStart"/>
      <w:r w:rsidRPr="007D7653">
        <w:rPr>
          <w:rFonts w:ascii="Arial" w:hAnsi="Arial" w:cs="Arial"/>
          <w:sz w:val="18"/>
          <w:szCs w:val="18"/>
        </w:rPr>
        <w:t>consolidado</w:t>
      </w:r>
      <w:proofErr w:type="gramEnd"/>
      <w:r w:rsidRPr="007D7653">
        <w:rPr>
          <w:rFonts w:ascii="Arial" w:hAnsi="Arial" w:cs="Arial"/>
          <w:sz w:val="18"/>
          <w:szCs w:val="18"/>
        </w:rPr>
        <w:t xml:space="preserve"> de manera trimestral. </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Para el cálculo de las relaciones mínimas de solvencia a nivel consolidado, se debe tener en cuenta las instrucciones señaladas en el Capítulo X de la Circular Básica Contable y Financiera (CBCF) y demás normas relacionadas que resulten aplicables. </w:t>
      </w:r>
    </w:p>
    <w:p w:rsidR="000D4234" w:rsidRPr="007D7653" w:rsidRDefault="000D4234" w:rsidP="000D4234">
      <w:pPr>
        <w:jc w:val="both"/>
        <w:rPr>
          <w:rFonts w:ascii="Arial" w:hAnsi="Arial" w:cs="Arial"/>
          <w:sz w:val="18"/>
          <w:szCs w:val="18"/>
        </w:rPr>
      </w:pPr>
    </w:p>
    <w:p w:rsidR="000D4234" w:rsidRPr="007D7653" w:rsidRDefault="000D4234" w:rsidP="000D4234">
      <w:pPr>
        <w:pStyle w:val="Prrafodelista"/>
        <w:numPr>
          <w:ilvl w:val="0"/>
          <w:numId w:val="21"/>
        </w:numPr>
        <w:ind w:left="851" w:hanging="851"/>
        <w:jc w:val="both"/>
        <w:rPr>
          <w:rFonts w:ascii="Arial" w:hAnsi="Arial" w:cs="Arial"/>
          <w:b/>
          <w:sz w:val="18"/>
          <w:szCs w:val="18"/>
        </w:rPr>
      </w:pPr>
      <w:r w:rsidRPr="007D7653">
        <w:rPr>
          <w:rFonts w:ascii="Arial" w:hAnsi="Arial" w:cs="Arial"/>
          <w:b/>
          <w:sz w:val="18"/>
          <w:szCs w:val="18"/>
        </w:rPr>
        <w:t>DEFINICIÓN Y CÁLCULO DEL PATRIMONIO TÉCNICO Y DE LAS RELACIONES MÍNIMAS DE SOLVENCIA</w:t>
      </w:r>
    </w:p>
    <w:p w:rsidR="000D4234" w:rsidRPr="007D7653" w:rsidRDefault="000D4234" w:rsidP="000D4234">
      <w:pPr>
        <w:jc w:val="both"/>
        <w:rPr>
          <w:rFonts w:ascii="Arial" w:hAnsi="Arial" w:cs="Arial"/>
          <w:b/>
          <w:sz w:val="18"/>
          <w:szCs w:val="18"/>
        </w:rPr>
      </w:pPr>
    </w:p>
    <w:p w:rsidR="000D4234" w:rsidRPr="007D7653" w:rsidRDefault="000D4234" w:rsidP="000D4234">
      <w:pPr>
        <w:pStyle w:val="Prrafodelista"/>
        <w:ind w:left="851"/>
        <w:jc w:val="both"/>
        <w:rPr>
          <w:rFonts w:ascii="Arial" w:hAnsi="Arial" w:cs="Arial"/>
          <w:b/>
          <w:sz w:val="18"/>
          <w:szCs w:val="18"/>
        </w:rPr>
      </w:pPr>
      <w:r w:rsidRPr="007D7653">
        <w:rPr>
          <w:rFonts w:ascii="Arial" w:hAnsi="Arial" w:cs="Arial"/>
          <w:b/>
          <w:sz w:val="18"/>
          <w:szCs w:val="18"/>
        </w:rPr>
        <w:t>(Título 1 del Libro 1 de la Parte 2 del Decreto 2555 de 2010 y demás normas que lo modifiquen, deroguen o sustituyan)</w:t>
      </w:r>
    </w:p>
    <w:p w:rsidR="000D4234" w:rsidRPr="007D7653" w:rsidRDefault="000D4234" w:rsidP="000D4234">
      <w:pPr>
        <w:jc w:val="both"/>
        <w:rPr>
          <w:rFonts w:ascii="Arial" w:hAnsi="Arial" w:cs="Arial"/>
          <w:b/>
          <w:sz w:val="18"/>
          <w:szCs w:val="18"/>
        </w:rPr>
      </w:pPr>
    </w:p>
    <w:p w:rsidR="000D4234" w:rsidRPr="007D7653" w:rsidRDefault="000D4234" w:rsidP="000D4234">
      <w:pPr>
        <w:pStyle w:val="Prrafodelista"/>
        <w:numPr>
          <w:ilvl w:val="1"/>
          <w:numId w:val="21"/>
        </w:numPr>
        <w:ind w:left="851" w:hanging="851"/>
        <w:jc w:val="both"/>
        <w:rPr>
          <w:rFonts w:ascii="Arial" w:hAnsi="Arial" w:cs="Arial"/>
          <w:b/>
          <w:sz w:val="18"/>
          <w:szCs w:val="18"/>
        </w:rPr>
      </w:pPr>
      <w:r w:rsidRPr="007D7653">
        <w:rPr>
          <w:rFonts w:ascii="Arial" w:hAnsi="Arial" w:cs="Arial"/>
          <w:b/>
          <w:sz w:val="18"/>
          <w:szCs w:val="18"/>
        </w:rPr>
        <w:t>Relaciones Mínimas de Solvencia</w:t>
      </w:r>
    </w:p>
    <w:p w:rsidR="000D4234" w:rsidRPr="007D7653" w:rsidRDefault="000D4234" w:rsidP="000D4234">
      <w:pPr>
        <w:ind w:left="360" w:hanging="360"/>
        <w:jc w:val="both"/>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Las entidades de las que trata el presente Capítulo deben cumplir con los siguientes niveles mínimos de solvencia: </w:t>
      </w:r>
    </w:p>
    <w:p w:rsidR="000D4234" w:rsidRPr="007D7653" w:rsidRDefault="000D4234" w:rsidP="000D4234">
      <w:pPr>
        <w:jc w:val="both"/>
        <w:rPr>
          <w:rFonts w:ascii="Arial" w:hAnsi="Arial" w:cs="Arial"/>
          <w:sz w:val="18"/>
          <w:szCs w:val="18"/>
        </w:rPr>
      </w:pPr>
    </w:p>
    <w:p w:rsidR="000D4234" w:rsidRPr="007D7653" w:rsidRDefault="000D4234" w:rsidP="000D4234">
      <w:pPr>
        <w:pStyle w:val="Prrafodelista"/>
        <w:numPr>
          <w:ilvl w:val="0"/>
          <w:numId w:val="6"/>
        </w:numPr>
        <w:jc w:val="both"/>
        <w:rPr>
          <w:rFonts w:ascii="Arial" w:hAnsi="Arial" w:cs="Arial"/>
          <w:sz w:val="18"/>
          <w:szCs w:val="18"/>
        </w:rPr>
      </w:pPr>
      <w:r w:rsidRPr="007D7653">
        <w:rPr>
          <w:rFonts w:ascii="Arial" w:hAnsi="Arial" w:cs="Arial"/>
          <w:sz w:val="18"/>
          <w:szCs w:val="18"/>
        </w:rPr>
        <w:t>Relación de Solvencia Básica: Se define como el valor del Patrimonio Básico Ordinario dividido por el valor de los activos ponderados por nivel de riesgo crediticio y de mercado. Esta relación no puede ser inferior a cuatro punto cinco por ciento (4.5%).</w:t>
      </w:r>
    </w:p>
    <w:p w:rsidR="000D4234" w:rsidRPr="007D7653" w:rsidRDefault="000D4234" w:rsidP="000D4234">
      <w:pPr>
        <w:pStyle w:val="Prrafodelista"/>
        <w:jc w:val="both"/>
        <w:rPr>
          <w:rFonts w:ascii="Arial" w:hAnsi="Arial" w:cs="Arial"/>
          <w:sz w:val="18"/>
          <w:szCs w:val="18"/>
        </w:rPr>
      </w:pPr>
    </w:p>
    <w:p w:rsidR="000D4234" w:rsidRPr="007D7653" w:rsidRDefault="000D4234" w:rsidP="000D4234">
      <w:pPr>
        <w:jc w:val="both"/>
        <w:rPr>
          <w:rFonts w:ascii="Arial" w:hAnsi="Arial" w:cs="Arial"/>
          <w:sz w:val="18"/>
          <w:szCs w:val="18"/>
        </w:rPr>
      </w:pPr>
      <m:oMathPara>
        <m:oMath>
          <m:r>
            <w:rPr>
              <w:rFonts w:ascii="Cambria Math" w:hAnsi="Cambria Math" w:cs="Arial"/>
              <w:sz w:val="18"/>
              <w:szCs w:val="18"/>
            </w:rPr>
            <m:t>Solvencia Básica=</m:t>
          </m:r>
          <m:f>
            <m:fPr>
              <m:ctrlPr>
                <w:rPr>
                  <w:rFonts w:ascii="Cambria Math" w:hAnsi="Cambria Math" w:cs="Arial"/>
                  <w:i/>
                  <w:sz w:val="18"/>
                  <w:szCs w:val="18"/>
                </w:rPr>
              </m:ctrlPr>
            </m:fPr>
            <m:num>
              <m:r>
                <w:rPr>
                  <w:rFonts w:ascii="Cambria Math" w:hAnsi="Cambria Math" w:cs="Arial"/>
                  <w:sz w:val="18"/>
                  <w:szCs w:val="18"/>
                </w:rPr>
                <m:t>Patrimonio Básico Ordinario</m:t>
              </m:r>
            </m:num>
            <m:den>
              <m:r>
                <w:rPr>
                  <w:rFonts w:ascii="Cambria Math" w:hAnsi="Cambria Math" w:cs="Arial"/>
                  <w:sz w:val="18"/>
                  <w:szCs w:val="18"/>
                </w:rPr>
                <m:t>APNR+</m:t>
              </m:r>
              <m:f>
                <m:fPr>
                  <m:ctrlPr>
                    <w:rPr>
                      <w:rFonts w:ascii="Cambria Math" w:hAnsi="Cambria Math" w:cs="Arial"/>
                      <w:i/>
                      <w:sz w:val="18"/>
                      <w:szCs w:val="18"/>
                    </w:rPr>
                  </m:ctrlPr>
                </m:fPr>
                <m:num>
                  <m:r>
                    <w:rPr>
                      <w:rFonts w:ascii="Cambria Math" w:hAnsi="Cambria Math" w:cs="Arial"/>
                      <w:sz w:val="18"/>
                      <w:szCs w:val="18"/>
                    </w:rPr>
                    <m:t>100</m:t>
                  </m:r>
                </m:num>
                <m:den>
                  <m:r>
                    <w:rPr>
                      <w:rFonts w:ascii="Cambria Math" w:hAnsi="Cambria Math" w:cs="Arial"/>
                      <w:sz w:val="18"/>
                      <w:szCs w:val="18"/>
                    </w:rPr>
                    <m:t>9</m:t>
                  </m:r>
                </m:den>
              </m:f>
              <m:sSub>
                <m:sSubPr>
                  <m:ctrlPr>
                    <w:rPr>
                      <w:rFonts w:ascii="Cambria Math" w:hAnsi="Cambria Math" w:cs="Arial"/>
                      <w:i/>
                      <w:sz w:val="18"/>
                      <w:szCs w:val="18"/>
                    </w:rPr>
                  </m:ctrlPr>
                </m:sSubPr>
                <m:e>
                  <m:r>
                    <w:rPr>
                      <w:rFonts w:ascii="Cambria Math" w:hAnsi="Cambria Math" w:cs="Arial"/>
                      <w:sz w:val="18"/>
                      <w:szCs w:val="18"/>
                    </w:rPr>
                    <m:t>VeR</m:t>
                  </m:r>
                </m:e>
                <m:sub>
                  <m:r>
                    <w:rPr>
                      <w:rFonts w:ascii="Cambria Math" w:hAnsi="Cambria Math" w:cs="Arial"/>
                      <w:sz w:val="18"/>
                      <w:szCs w:val="18"/>
                    </w:rPr>
                    <m:t>RM</m:t>
                  </m:r>
                </m:sub>
              </m:sSub>
            </m:den>
          </m:f>
          <m:r>
            <w:rPr>
              <w:rFonts w:ascii="Cambria Math" w:hAnsi="Cambria Math" w:cs="Arial"/>
              <w:sz w:val="18"/>
              <w:szCs w:val="18"/>
            </w:rPr>
            <m:t>≥4.5%</m:t>
          </m:r>
        </m:oMath>
      </m:oMathPara>
    </w:p>
    <w:p w:rsidR="000D4234" w:rsidRPr="007D7653" w:rsidRDefault="000D4234" w:rsidP="000D4234">
      <w:pPr>
        <w:jc w:val="both"/>
        <w:rPr>
          <w:rFonts w:ascii="Arial" w:hAnsi="Arial" w:cs="Arial"/>
          <w:sz w:val="18"/>
          <w:szCs w:val="18"/>
        </w:rPr>
      </w:pPr>
    </w:p>
    <w:p w:rsidR="000D4234" w:rsidRPr="007D7653" w:rsidRDefault="000D4234" w:rsidP="000D4234">
      <w:pPr>
        <w:pStyle w:val="Prrafodelista"/>
        <w:numPr>
          <w:ilvl w:val="0"/>
          <w:numId w:val="6"/>
        </w:numPr>
        <w:jc w:val="both"/>
        <w:rPr>
          <w:rFonts w:ascii="Arial" w:hAnsi="Arial" w:cs="Arial"/>
          <w:sz w:val="18"/>
          <w:szCs w:val="18"/>
        </w:rPr>
      </w:pPr>
      <w:r w:rsidRPr="007D7653">
        <w:rPr>
          <w:rFonts w:ascii="Arial" w:hAnsi="Arial" w:cs="Arial"/>
          <w:sz w:val="18"/>
          <w:szCs w:val="18"/>
        </w:rPr>
        <w:t>Relación de Solvencia Total: Se define como el valor del Patrimonio Técnico dividido por el valor de los activos ponderados por nivel de riesgo crediticio y de mercado. Esta relación no puede ser inferior a nueve por ciento (9%).</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m:oMathPara>
        <m:oMath>
          <m:r>
            <w:rPr>
              <w:rFonts w:ascii="Cambria Math" w:hAnsi="Cambria Math" w:cs="Arial"/>
              <w:sz w:val="18"/>
              <w:szCs w:val="18"/>
            </w:rPr>
            <m:t>Solvencia Total=</m:t>
          </m:r>
          <m:f>
            <m:fPr>
              <m:ctrlPr>
                <w:rPr>
                  <w:rFonts w:ascii="Cambria Math" w:hAnsi="Cambria Math" w:cs="Arial"/>
                  <w:i/>
                  <w:sz w:val="18"/>
                  <w:szCs w:val="18"/>
                </w:rPr>
              </m:ctrlPr>
            </m:fPr>
            <m:num>
              <m:r>
                <w:rPr>
                  <w:rFonts w:ascii="Cambria Math" w:hAnsi="Cambria Math" w:cs="Arial"/>
                  <w:sz w:val="18"/>
                  <w:szCs w:val="18"/>
                </w:rPr>
                <m:t>PT</m:t>
              </m:r>
            </m:num>
            <m:den>
              <m:r>
                <w:rPr>
                  <w:rFonts w:ascii="Cambria Math" w:hAnsi="Cambria Math" w:cs="Arial"/>
                  <w:sz w:val="18"/>
                  <w:szCs w:val="18"/>
                </w:rPr>
                <m:t>APNR+</m:t>
              </m:r>
              <m:f>
                <m:fPr>
                  <m:ctrlPr>
                    <w:rPr>
                      <w:rFonts w:ascii="Cambria Math" w:hAnsi="Cambria Math" w:cs="Arial"/>
                      <w:i/>
                      <w:sz w:val="18"/>
                      <w:szCs w:val="18"/>
                    </w:rPr>
                  </m:ctrlPr>
                </m:fPr>
                <m:num>
                  <m:r>
                    <w:rPr>
                      <w:rFonts w:ascii="Cambria Math" w:hAnsi="Cambria Math" w:cs="Arial"/>
                      <w:sz w:val="18"/>
                      <w:szCs w:val="18"/>
                    </w:rPr>
                    <m:t>100</m:t>
                  </m:r>
                </m:num>
                <m:den>
                  <m:r>
                    <w:rPr>
                      <w:rFonts w:ascii="Cambria Math" w:hAnsi="Cambria Math" w:cs="Arial"/>
                      <w:sz w:val="18"/>
                      <w:szCs w:val="18"/>
                    </w:rPr>
                    <m:t>9</m:t>
                  </m:r>
                </m:den>
              </m:f>
              <m:sSub>
                <m:sSubPr>
                  <m:ctrlPr>
                    <w:rPr>
                      <w:rFonts w:ascii="Cambria Math" w:hAnsi="Cambria Math" w:cs="Arial"/>
                      <w:i/>
                      <w:sz w:val="18"/>
                      <w:szCs w:val="18"/>
                    </w:rPr>
                  </m:ctrlPr>
                </m:sSubPr>
                <m:e>
                  <m:r>
                    <w:rPr>
                      <w:rFonts w:ascii="Cambria Math" w:hAnsi="Cambria Math" w:cs="Arial"/>
                      <w:sz w:val="18"/>
                      <w:szCs w:val="18"/>
                    </w:rPr>
                    <m:t>VeR</m:t>
                  </m:r>
                </m:e>
                <m:sub>
                  <m:r>
                    <w:rPr>
                      <w:rFonts w:ascii="Cambria Math" w:hAnsi="Cambria Math" w:cs="Arial"/>
                      <w:sz w:val="18"/>
                      <w:szCs w:val="18"/>
                    </w:rPr>
                    <m:t>RM</m:t>
                  </m:r>
                </m:sub>
              </m:sSub>
            </m:den>
          </m:f>
          <m:r>
            <w:rPr>
              <w:rFonts w:ascii="Cambria Math" w:hAnsi="Cambria Math" w:cs="Arial"/>
              <w:sz w:val="18"/>
              <w:szCs w:val="18"/>
            </w:rPr>
            <m:t>≥9%</m:t>
          </m:r>
        </m:oMath>
      </m:oMathPara>
    </w:p>
    <w:p w:rsidR="000D4234" w:rsidRPr="007D7653" w:rsidRDefault="000D4234" w:rsidP="000D4234">
      <w:pPr>
        <w:jc w:val="both"/>
        <w:rPr>
          <w:rFonts w:ascii="Arial" w:hAnsi="Arial" w:cs="Arial"/>
          <w:sz w:val="18"/>
          <w:szCs w:val="18"/>
        </w:rPr>
      </w:pPr>
      <w:r w:rsidRPr="007D7653">
        <w:rPr>
          <w:rFonts w:ascii="Arial" w:hAnsi="Arial" w:cs="Arial"/>
          <w:sz w:val="18"/>
          <w:szCs w:val="18"/>
        </w:rPr>
        <w:t>En donde:</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PT= Patrimonio Técnico calculado de acuerdo con las instrucciones impartidas en el numeral 2.2 del presente Capítulo.</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APNR= Activos Ponderados por Nivel de Riesgo crediticio calculado de acuerdo con las instrucciones impartidas en el numeral 2.3 del presente Capítulo. </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VeR</m:t>
            </m:r>
          </m:e>
          <m:sub>
            <m:r>
              <w:rPr>
                <w:rFonts w:ascii="Cambria Math" w:hAnsi="Cambria Math" w:cs="Arial"/>
                <w:sz w:val="18"/>
                <w:szCs w:val="18"/>
              </w:rPr>
              <m:t>RM</m:t>
            </m:r>
          </m:sub>
        </m:sSub>
      </m:oMath>
      <w:r w:rsidRPr="007D7653">
        <w:rPr>
          <w:rFonts w:ascii="Arial" w:hAnsi="Arial" w:cs="Arial"/>
          <w:sz w:val="18"/>
          <w:szCs w:val="18"/>
        </w:rPr>
        <w:t>= Valor de la exposición por riesgo de mercado calculado de acuerdo con las instrucciones establecidas en el Capítulo XXI “Reglas relativas al sistema de administración de riesgo de mercado” de la CBCF.</w:t>
      </w:r>
    </w:p>
    <w:p w:rsidR="000D4234" w:rsidRPr="007D7653" w:rsidRDefault="000D4234" w:rsidP="000D4234">
      <w:pPr>
        <w:jc w:val="both"/>
        <w:rPr>
          <w:rFonts w:ascii="Arial" w:hAnsi="Arial" w:cs="Arial"/>
          <w:b/>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El cálculo de cada uno de los rubros que conforman las relaciones mínimas de solvencia se debe realizar teniendo en cuenta el Plan Único de Cuentas para el sistema financiero (PUC), el Formato 110 (Proforma F.1000-48 “Cuentas no PUC para el cálculo del patrimonio adecuado”) y el Formato 301 (Proforma F.0000-97 “Declaración del Control de Ley Margen de Solvencia”), según se indica en cada uno de los componentes de las relaciones de solvencia. </w:t>
      </w:r>
    </w:p>
    <w:p w:rsidR="000D4234" w:rsidRPr="007D7653" w:rsidRDefault="000D4234" w:rsidP="000D4234">
      <w:pPr>
        <w:jc w:val="both"/>
        <w:rPr>
          <w:rFonts w:ascii="Arial" w:hAnsi="Arial" w:cs="Arial"/>
          <w:b/>
          <w:sz w:val="18"/>
          <w:szCs w:val="18"/>
        </w:rPr>
      </w:pPr>
    </w:p>
    <w:p w:rsidR="000D4234" w:rsidRPr="007D7653" w:rsidRDefault="000D4234" w:rsidP="000D4234">
      <w:pPr>
        <w:pStyle w:val="Prrafodelista"/>
        <w:numPr>
          <w:ilvl w:val="1"/>
          <w:numId w:val="21"/>
        </w:numPr>
        <w:ind w:left="851" w:hanging="851"/>
        <w:jc w:val="both"/>
        <w:outlineLvl w:val="2"/>
        <w:rPr>
          <w:rFonts w:ascii="Arial" w:hAnsi="Arial" w:cs="Arial"/>
          <w:b/>
          <w:sz w:val="18"/>
          <w:szCs w:val="18"/>
        </w:rPr>
      </w:pPr>
      <w:bookmarkStart w:id="4" w:name="_Toc354995212"/>
      <w:r w:rsidRPr="007D7653">
        <w:rPr>
          <w:rFonts w:ascii="Arial" w:hAnsi="Arial" w:cs="Arial"/>
          <w:b/>
          <w:sz w:val="18"/>
          <w:szCs w:val="18"/>
        </w:rPr>
        <w:t>Patrimonio Técnico (PT)</w:t>
      </w:r>
      <w:bookmarkEnd w:id="4"/>
    </w:p>
    <w:p w:rsidR="000D4234" w:rsidRPr="007D7653" w:rsidRDefault="000D4234" w:rsidP="000D4234">
      <w:pPr>
        <w:jc w:val="both"/>
        <w:rPr>
          <w:rFonts w:ascii="Arial" w:hAnsi="Arial" w:cs="Arial"/>
          <w:b/>
          <w:sz w:val="18"/>
          <w:szCs w:val="18"/>
        </w:rPr>
      </w:pPr>
    </w:p>
    <w:p w:rsidR="000D4234" w:rsidRPr="007D7653" w:rsidRDefault="000D4234" w:rsidP="000D4234">
      <w:pPr>
        <w:pBdr>
          <w:left w:val="single" w:sz="4" w:space="4" w:color="auto"/>
        </w:pBdr>
        <w:jc w:val="both"/>
        <w:rPr>
          <w:rFonts w:ascii="Arial" w:hAnsi="Arial" w:cs="Arial"/>
          <w:sz w:val="18"/>
          <w:szCs w:val="18"/>
        </w:rPr>
      </w:pPr>
      <w:r w:rsidRPr="007D7653">
        <w:rPr>
          <w:rFonts w:ascii="Arial" w:hAnsi="Arial" w:cs="Arial"/>
          <w:sz w:val="18"/>
          <w:szCs w:val="18"/>
        </w:rPr>
        <w:t xml:space="preserve">El Patrimonio Técnico se define como la suma del Patrimonio Básico Ordinario (PBO), el Patrimonio Básico Adicional (PBA) y el Patrimonio Adicional (PA), menos las deducciones al PT de las que trata el literal h) del artículo 2.1.1.3.4 del Decreto 2555 de 2010. El cálculo de cada componente corresponde a la suma ponderada de los rubros </w:t>
      </w:r>
      <w:r w:rsidRPr="007D7653">
        <w:rPr>
          <w:rFonts w:ascii="Arial" w:hAnsi="Arial" w:cs="Arial"/>
          <w:sz w:val="18"/>
          <w:szCs w:val="18"/>
        </w:rPr>
        <w:lastRenderedPageBreak/>
        <w:t xml:space="preserve">constitutivos del capital regulatorio de acuerdo con las instrucciones referidas en los numerales </w:t>
      </w:r>
      <w:r w:rsidRPr="007D7653">
        <w:rPr>
          <w:rFonts w:ascii="Arial" w:hAnsi="Arial" w:cs="Arial"/>
          <w:b/>
          <w:sz w:val="18"/>
          <w:szCs w:val="18"/>
        </w:rPr>
        <w:t>2.2.1 al 2.2.6</w:t>
      </w:r>
      <w:r w:rsidRPr="007D7653">
        <w:rPr>
          <w:rFonts w:ascii="Arial" w:hAnsi="Arial" w:cs="Arial"/>
          <w:sz w:val="18"/>
          <w:szCs w:val="18"/>
        </w:rPr>
        <w:t xml:space="preserve"> del presente Capítulo.</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Los rubros que suman están precedidas de un signo más (+), mientras que los que restan se anteceden de un signo menos (-).</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m:oMathPara>
        <m:oMathParaPr>
          <m:jc m:val="center"/>
        </m:oMathParaPr>
        <m:oMath>
          <m:r>
            <w:rPr>
              <w:rFonts w:ascii="Cambria Math" w:hAnsi="Cambria Math" w:cs="Arial"/>
              <w:sz w:val="18"/>
              <w:szCs w:val="18"/>
            </w:rPr>
            <m:t>PT=</m:t>
          </m:r>
          <m:nary>
            <m:naryPr>
              <m:chr m:val="∑"/>
              <m:limLoc m:val="undOvr"/>
              <m:subHide m:val="1"/>
              <m:supHide m:val="1"/>
              <m:ctrlPr>
                <w:rPr>
                  <w:rFonts w:ascii="Cambria Math" w:hAnsi="Cambria Math" w:cs="Arial"/>
                  <w:i/>
                  <w:sz w:val="18"/>
                  <w:szCs w:val="18"/>
                </w:rPr>
              </m:ctrlPr>
            </m:naryPr>
            <m:sub/>
            <m:sup/>
            <m:e>
              <m:eqArr>
                <m:eqArrPr>
                  <m:ctrlPr>
                    <w:rPr>
                      <w:rFonts w:ascii="Cambria Math" w:hAnsi="Cambria Math" w:cs="Arial"/>
                      <w:i/>
                      <w:sz w:val="18"/>
                      <w:szCs w:val="18"/>
                    </w:rPr>
                  </m:ctrlPr>
                </m:eqArrPr>
                <m:e>
                  <m:r>
                    <w:rPr>
                      <w:rFonts w:ascii="Cambria Math" w:hAnsi="Cambria Math" w:cs="Arial"/>
                      <w:sz w:val="18"/>
                      <w:szCs w:val="18"/>
                    </w:rPr>
                    <m:t xml:space="preserve">rubros que computan en </m:t>
                  </m:r>
                </m:e>
                <m:e>
                  <m:r>
                    <w:rPr>
                      <w:rFonts w:ascii="Cambria Math" w:hAnsi="Cambria Math" w:cs="Arial"/>
                      <w:sz w:val="18"/>
                      <w:szCs w:val="18"/>
                    </w:rPr>
                    <m:t>PBO*ponderación</m:t>
                  </m:r>
                </m:e>
              </m:eqArr>
            </m:e>
          </m:nary>
          <m:r>
            <w:rPr>
              <w:rFonts w:ascii="Cambria Math" w:hAnsi="Cambria Math" w:cs="Arial"/>
              <w:sz w:val="18"/>
              <w:szCs w:val="18"/>
            </w:rPr>
            <m:t>+</m:t>
          </m:r>
          <m:nary>
            <m:naryPr>
              <m:chr m:val="∑"/>
              <m:limLoc m:val="undOvr"/>
              <m:subHide m:val="1"/>
              <m:supHide m:val="1"/>
              <m:ctrlPr>
                <w:rPr>
                  <w:rFonts w:ascii="Cambria Math" w:hAnsi="Cambria Math" w:cs="Arial"/>
                  <w:i/>
                  <w:sz w:val="18"/>
                  <w:szCs w:val="18"/>
                </w:rPr>
              </m:ctrlPr>
            </m:naryPr>
            <m:sub/>
            <m:sup/>
            <m:e>
              <m:eqArr>
                <m:eqArrPr>
                  <m:ctrlPr>
                    <w:rPr>
                      <w:rFonts w:ascii="Cambria Math" w:hAnsi="Cambria Math" w:cs="Arial"/>
                      <w:i/>
                      <w:sz w:val="18"/>
                      <w:szCs w:val="18"/>
                    </w:rPr>
                  </m:ctrlPr>
                </m:eqArrPr>
                <m:e>
                  <m:r>
                    <w:rPr>
                      <w:rFonts w:ascii="Cambria Math" w:hAnsi="Cambria Math" w:cs="Arial"/>
                      <w:sz w:val="18"/>
                      <w:szCs w:val="18"/>
                    </w:rPr>
                    <m:t>rubros que computan en el</m:t>
                  </m:r>
                </m:e>
                <m:e>
                  <m:r>
                    <w:rPr>
                      <w:rFonts w:ascii="Cambria Math" w:hAnsi="Cambria Math" w:cs="Arial"/>
                      <w:sz w:val="18"/>
                      <w:szCs w:val="18"/>
                    </w:rPr>
                    <m:t>PBA*ponderación</m:t>
                  </m:r>
                </m:e>
              </m:eqArr>
            </m:e>
          </m:nary>
        </m:oMath>
      </m:oMathPara>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m:oMathPara>
        <m:oMathParaPr>
          <m:jc m:val="center"/>
        </m:oMathParaPr>
        <m:oMath>
          <m:r>
            <w:rPr>
              <w:rFonts w:ascii="Cambria Math" w:hAnsi="Cambria Math" w:cs="Arial"/>
              <w:sz w:val="18"/>
              <w:szCs w:val="18"/>
            </w:rPr>
            <m:t>+</m:t>
          </m:r>
          <m:nary>
            <m:naryPr>
              <m:chr m:val="∑"/>
              <m:limLoc m:val="undOvr"/>
              <m:subHide m:val="1"/>
              <m:supHide m:val="1"/>
              <m:ctrlPr>
                <w:rPr>
                  <w:rFonts w:ascii="Cambria Math" w:hAnsi="Cambria Math" w:cs="Arial"/>
                  <w:i/>
                  <w:sz w:val="18"/>
                  <w:szCs w:val="18"/>
                </w:rPr>
              </m:ctrlPr>
            </m:naryPr>
            <m:sub/>
            <m:sup/>
            <m:e>
              <m:eqArr>
                <m:eqArrPr>
                  <m:ctrlPr>
                    <w:rPr>
                      <w:rFonts w:ascii="Cambria Math" w:hAnsi="Cambria Math" w:cs="Arial"/>
                      <w:i/>
                      <w:sz w:val="18"/>
                      <w:szCs w:val="18"/>
                    </w:rPr>
                  </m:ctrlPr>
                </m:eqArrPr>
                <m:e>
                  <m:r>
                    <w:rPr>
                      <w:rFonts w:ascii="Cambria Math" w:hAnsi="Cambria Math" w:cs="Arial"/>
                      <w:sz w:val="18"/>
                      <w:szCs w:val="18"/>
                    </w:rPr>
                    <m:t>rubros que computan en el</m:t>
                  </m:r>
                </m:e>
                <m:e>
                  <m:r>
                    <w:rPr>
                      <w:rFonts w:ascii="Cambria Math" w:hAnsi="Cambria Math" w:cs="Arial"/>
                      <w:sz w:val="18"/>
                      <w:szCs w:val="18"/>
                    </w:rPr>
                    <m:t>PA*ponderación</m:t>
                  </m:r>
                </m:e>
              </m:eqArr>
            </m:e>
          </m:nary>
          <m:r>
            <w:rPr>
              <w:rFonts w:ascii="Cambria Math" w:hAnsi="Cambria Math" w:cs="Arial"/>
              <w:sz w:val="18"/>
              <w:szCs w:val="18"/>
            </w:rPr>
            <m:t xml:space="preserve">- </m:t>
          </m:r>
          <m:nary>
            <m:naryPr>
              <m:chr m:val="∑"/>
              <m:limLoc m:val="undOvr"/>
              <m:subHide m:val="1"/>
              <m:supHide m:val="1"/>
              <m:ctrlPr>
                <w:rPr>
                  <w:rFonts w:ascii="Cambria Math" w:hAnsi="Cambria Math" w:cs="Arial"/>
                  <w:i/>
                  <w:sz w:val="18"/>
                  <w:szCs w:val="18"/>
                </w:rPr>
              </m:ctrlPr>
            </m:naryPr>
            <m:sub/>
            <m:sup/>
            <m:e>
              <m:eqArr>
                <m:eqArrPr>
                  <m:ctrlPr>
                    <w:rPr>
                      <w:rFonts w:ascii="Cambria Math" w:hAnsi="Cambria Math" w:cs="Arial"/>
                      <w:i/>
                      <w:sz w:val="18"/>
                      <w:szCs w:val="18"/>
                    </w:rPr>
                  </m:ctrlPr>
                </m:eqArrPr>
                <m:e>
                  <m:r>
                    <w:rPr>
                      <w:rFonts w:ascii="Cambria Math" w:hAnsi="Cambria Math" w:cs="Arial"/>
                      <w:sz w:val="18"/>
                      <w:szCs w:val="18"/>
                    </w:rPr>
                    <m:t>partidas que computan en las</m:t>
                  </m:r>
                </m:e>
                <m:e>
                  <m:r>
                    <w:rPr>
                      <w:rFonts w:ascii="Cambria Math" w:hAnsi="Cambria Math" w:cs="Arial"/>
                      <w:sz w:val="18"/>
                      <w:szCs w:val="18"/>
                    </w:rPr>
                    <m:t>deducciones al PT*ponderación</m:t>
                  </m:r>
                </m:e>
              </m:eqArr>
            </m:e>
          </m:nary>
        </m:oMath>
      </m:oMathPara>
    </w:p>
    <w:p w:rsidR="000D4234" w:rsidRPr="007D7653" w:rsidRDefault="000D4234" w:rsidP="000D4234">
      <w:pPr>
        <w:jc w:val="both"/>
        <w:rPr>
          <w:rFonts w:ascii="Arial" w:hAnsi="Arial" w:cs="Arial"/>
          <w:sz w:val="18"/>
          <w:szCs w:val="18"/>
        </w:rPr>
      </w:pPr>
    </w:p>
    <w:p w:rsidR="000D4234" w:rsidRPr="007D7653" w:rsidRDefault="000D4234" w:rsidP="000D4234">
      <w:pPr>
        <w:pStyle w:val="Prrafodelista"/>
        <w:numPr>
          <w:ilvl w:val="2"/>
          <w:numId w:val="21"/>
        </w:numPr>
        <w:ind w:left="851" w:hanging="851"/>
        <w:jc w:val="both"/>
        <w:rPr>
          <w:rFonts w:ascii="Arial" w:hAnsi="Arial" w:cs="Arial"/>
          <w:b/>
          <w:sz w:val="18"/>
          <w:szCs w:val="18"/>
        </w:rPr>
      </w:pPr>
      <w:r w:rsidRPr="007D7653">
        <w:rPr>
          <w:rFonts w:ascii="Arial" w:hAnsi="Arial" w:cs="Arial"/>
          <w:b/>
          <w:sz w:val="18"/>
          <w:szCs w:val="18"/>
        </w:rPr>
        <w:t xml:space="preserve">Clasificación de las acciones e instrumentos de deuda subordinada  </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En virtud del artículo 2.1.1.1.6 del Decreto 2555 de 2010, la Superintendencia Financiera de Colombia (SFC) definirá la pertenencia de las acciones y los instrumentos de deuda subordinada al PBO, PBA y PA, según corresponda.  Para el efecto, el emisor debe solicitar la clasificación de los instrumentos de capital de acuerdo con las instrucciones señaladas en el Anexo 2 del presente Capítulo. </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Los instrumentos que esta Superintendencia no clasifique en el capital regulatorio no podrán hacer parte del PT de la entidad.</w:t>
      </w:r>
    </w:p>
    <w:p w:rsidR="000D4234" w:rsidRPr="007D7653" w:rsidRDefault="000D4234" w:rsidP="000D4234">
      <w:pPr>
        <w:jc w:val="both"/>
        <w:rPr>
          <w:rFonts w:ascii="Arial" w:hAnsi="Arial" w:cs="Arial"/>
          <w:b/>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En relación con el criterio de pertenencia a las diferentes categorías del Patrimonio Técnico “No financiado por la entidad” establecido en los artículos 2.1.1.1.7, 2.1.1.1.8 y 2.1.1.1.9 del citado Decreto, es necesario precisar que para efectos de la presente Capítulo, se entiende por “vinculado” cualquier participante que sea:</w:t>
      </w:r>
    </w:p>
    <w:p w:rsidR="000D4234" w:rsidRPr="007D7653" w:rsidRDefault="000D4234" w:rsidP="000D4234">
      <w:pPr>
        <w:jc w:val="both"/>
        <w:rPr>
          <w:rFonts w:ascii="Arial" w:hAnsi="Arial" w:cs="Arial"/>
          <w:sz w:val="18"/>
          <w:szCs w:val="18"/>
        </w:rPr>
      </w:pPr>
    </w:p>
    <w:p w:rsidR="000D4234" w:rsidRPr="007D7653" w:rsidRDefault="000D4234" w:rsidP="000D4234">
      <w:pPr>
        <w:pStyle w:val="Prrafodelista"/>
        <w:numPr>
          <w:ilvl w:val="0"/>
          <w:numId w:val="6"/>
        </w:numPr>
        <w:jc w:val="both"/>
        <w:rPr>
          <w:rFonts w:ascii="Arial" w:hAnsi="Arial" w:cs="Arial"/>
          <w:sz w:val="18"/>
          <w:szCs w:val="18"/>
        </w:rPr>
      </w:pPr>
      <w:r w:rsidRPr="007D7653">
        <w:rPr>
          <w:rFonts w:ascii="Arial" w:hAnsi="Arial" w:cs="Arial"/>
          <w:sz w:val="18"/>
          <w:szCs w:val="18"/>
        </w:rPr>
        <w:t>El o los accionistas o beneficiarios reales</w:t>
      </w:r>
      <w:r w:rsidRPr="007D7653">
        <w:rPr>
          <w:rStyle w:val="Refdenotaalpie"/>
          <w:rFonts w:ascii="Arial" w:hAnsi="Arial" w:cs="Arial"/>
          <w:sz w:val="18"/>
          <w:szCs w:val="18"/>
        </w:rPr>
        <w:footnoteReference w:id="1"/>
      </w:r>
      <w:r w:rsidRPr="007D7653">
        <w:rPr>
          <w:rFonts w:ascii="Arial" w:hAnsi="Arial" w:cs="Arial"/>
          <w:sz w:val="18"/>
          <w:szCs w:val="18"/>
        </w:rPr>
        <w:t xml:space="preserve"> del cinco por ciento (5%) o más de la participación accionaria en la entidad.</w:t>
      </w:r>
    </w:p>
    <w:p w:rsidR="000D4234" w:rsidRPr="007D7653" w:rsidRDefault="000D4234" w:rsidP="000D4234">
      <w:pPr>
        <w:pStyle w:val="Prrafodelista"/>
        <w:jc w:val="both"/>
        <w:rPr>
          <w:rFonts w:ascii="Arial" w:hAnsi="Arial" w:cs="Arial"/>
          <w:sz w:val="18"/>
          <w:szCs w:val="18"/>
        </w:rPr>
      </w:pPr>
    </w:p>
    <w:p w:rsidR="000D4234" w:rsidRPr="007D7653" w:rsidRDefault="000D4234" w:rsidP="000D4234">
      <w:pPr>
        <w:pStyle w:val="Prrafodelista"/>
        <w:numPr>
          <w:ilvl w:val="0"/>
          <w:numId w:val="6"/>
        </w:numPr>
        <w:jc w:val="both"/>
        <w:rPr>
          <w:rFonts w:ascii="Arial" w:hAnsi="Arial" w:cs="Arial"/>
          <w:sz w:val="18"/>
          <w:szCs w:val="18"/>
        </w:rPr>
      </w:pPr>
      <w:r w:rsidRPr="007D7653">
        <w:rPr>
          <w:rFonts w:ascii="Arial" w:hAnsi="Arial" w:cs="Arial"/>
          <w:sz w:val="18"/>
          <w:szCs w:val="18"/>
        </w:rPr>
        <w:t xml:space="preserve">Las personas jurídicas en las cuales, la entidad sea beneficiario real del cinco por ciento (5%) o más de la participación accionaria. </w:t>
      </w:r>
    </w:p>
    <w:p w:rsidR="000D4234" w:rsidRPr="007D7653" w:rsidRDefault="000D4234" w:rsidP="000D4234">
      <w:pPr>
        <w:jc w:val="both"/>
        <w:rPr>
          <w:rFonts w:ascii="Arial" w:hAnsi="Arial" w:cs="Arial"/>
          <w:sz w:val="18"/>
          <w:szCs w:val="18"/>
        </w:rPr>
      </w:pPr>
    </w:p>
    <w:p w:rsidR="000D4234" w:rsidRPr="007D7653" w:rsidRDefault="000D4234" w:rsidP="000D4234">
      <w:pPr>
        <w:pStyle w:val="Prrafodelista"/>
        <w:numPr>
          <w:ilvl w:val="0"/>
          <w:numId w:val="6"/>
        </w:numPr>
        <w:jc w:val="both"/>
        <w:rPr>
          <w:rFonts w:ascii="Arial" w:hAnsi="Arial" w:cs="Arial"/>
          <w:sz w:val="18"/>
          <w:szCs w:val="18"/>
        </w:rPr>
      </w:pPr>
      <w:r w:rsidRPr="007D7653">
        <w:rPr>
          <w:rFonts w:ascii="Arial" w:hAnsi="Arial" w:cs="Arial"/>
          <w:sz w:val="18"/>
          <w:szCs w:val="18"/>
        </w:rPr>
        <w:t>La matriz de la entidad y sus subordinadas.</w:t>
      </w:r>
    </w:p>
    <w:p w:rsidR="000D4234" w:rsidRPr="007D7653" w:rsidRDefault="000D4234" w:rsidP="000D4234">
      <w:pPr>
        <w:pStyle w:val="Prrafodelista"/>
        <w:rPr>
          <w:rFonts w:ascii="Arial" w:hAnsi="Arial" w:cs="Arial"/>
          <w:sz w:val="18"/>
          <w:szCs w:val="18"/>
        </w:rPr>
      </w:pPr>
    </w:p>
    <w:p w:rsidR="000D4234" w:rsidRPr="007D7653" w:rsidRDefault="000D4234" w:rsidP="000D4234">
      <w:pPr>
        <w:pStyle w:val="Prrafodelista"/>
        <w:numPr>
          <w:ilvl w:val="2"/>
          <w:numId w:val="21"/>
        </w:numPr>
        <w:ind w:left="851" w:hanging="851"/>
        <w:jc w:val="both"/>
        <w:rPr>
          <w:rFonts w:ascii="Arial" w:hAnsi="Arial" w:cs="Arial"/>
          <w:b/>
          <w:sz w:val="18"/>
          <w:szCs w:val="18"/>
        </w:rPr>
      </w:pPr>
      <w:r w:rsidRPr="007D7653">
        <w:rPr>
          <w:rFonts w:ascii="Arial" w:hAnsi="Arial" w:cs="Arial"/>
          <w:b/>
          <w:sz w:val="18"/>
          <w:szCs w:val="18"/>
        </w:rPr>
        <w:t>Patrimonio Básico Ordinario (PBO)</w:t>
      </w:r>
    </w:p>
    <w:p w:rsidR="000D4234" w:rsidRPr="007D7653" w:rsidRDefault="000D4234" w:rsidP="000D4234">
      <w:pPr>
        <w:jc w:val="both"/>
        <w:rPr>
          <w:rFonts w:ascii="Arial" w:hAnsi="Arial" w:cs="Arial"/>
          <w:b/>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El</w:t>
      </w:r>
      <w:r w:rsidRPr="007D7653">
        <w:rPr>
          <w:rFonts w:ascii="Arial" w:hAnsi="Arial" w:cs="Arial"/>
          <w:b/>
          <w:sz w:val="18"/>
          <w:szCs w:val="18"/>
        </w:rPr>
        <w:t xml:space="preserve"> PBO</w:t>
      </w:r>
      <w:r w:rsidRPr="007D7653">
        <w:rPr>
          <w:rFonts w:ascii="Arial" w:hAnsi="Arial" w:cs="Arial"/>
          <w:sz w:val="18"/>
          <w:szCs w:val="18"/>
        </w:rPr>
        <w:t xml:space="preserve"> comprende los siguientes rubros: </w:t>
      </w:r>
    </w:p>
    <w:p w:rsidR="000D4234" w:rsidRPr="007D7653" w:rsidRDefault="000D4234" w:rsidP="000D4234">
      <w:pPr>
        <w:jc w:val="both"/>
        <w:rPr>
          <w:rFonts w:ascii="Arial" w:hAnsi="Arial" w:cs="Arial"/>
          <w:sz w:val="18"/>
          <w:szCs w:val="18"/>
        </w:rPr>
      </w:pPr>
    </w:p>
    <w:tbl>
      <w:tblPr>
        <w:tblW w:w="9472" w:type="dxa"/>
        <w:tblInd w:w="65" w:type="dxa"/>
        <w:tblCellMar>
          <w:left w:w="70" w:type="dxa"/>
          <w:right w:w="70" w:type="dxa"/>
        </w:tblCellMar>
        <w:tblLook w:val="04A0" w:firstRow="1" w:lastRow="0" w:firstColumn="1" w:lastColumn="0" w:noHBand="0" w:noVBand="1"/>
      </w:tblPr>
      <w:tblGrid>
        <w:gridCol w:w="731"/>
        <w:gridCol w:w="1061"/>
        <w:gridCol w:w="5520"/>
        <w:gridCol w:w="2160"/>
      </w:tblGrid>
      <w:tr w:rsidR="000D4234" w:rsidRPr="007D7653" w:rsidTr="00CD6F78">
        <w:trPr>
          <w:trHeight w:val="331"/>
          <w:tblHeader/>
        </w:trPr>
        <w:tc>
          <w:tcPr>
            <w:tcW w:w="7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Fuente</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Cuenta/</w:t>
            </w:r>
            <w:r w:rsidRPr="007D7653">
              <w:rPr>
                <w:rFonts w:ascii="Arial" w:hAnsi="Arial" w:cs="Arial"/>
                <w:b/>
                <w:bCs/>
                <w:snapToGrid/>
                <w:color w:val="000000"/>
                <w:sz w:val="18"/>
                <w:szCs w:val="18"/>
                <w:lang w:val="es-CO" w:eastAsia="es-CO"/>
              </w:rPr>
              <w:br/>
              <w:t>Subcuenta</w:t>
            </w:r>
          </w:p>
        </w:tc>
        <w:tc>
          <w:tcPr>
            <w:tcW w:w="552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Denominación</w:t>
            </w:r>
          </w:p>
        </w:tc>
        <w:tc>
          <w:tcPr>
            <w:tcW w:w="216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Ponderación</w:t>
            </w:r>
          </w:p>
        </w:tc>
      </w:tr>
      <w:tr w:rsidR="000D4234" w:rsidRPr="007D7653" w:rsidTr="00CD6F78">
        <w:trPr>
          <w:trHeight w:val="596"/>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+540</w:t>
            </w:r>
          </w:p>
        </w:tc>
        <w:tc>
          <w:tcPr>
            <w:tcW w:w="5520" w:type="dxa"/>
            <w:tcBorders>
              <w:top w:val="nil"/>
              <w:left w:val="nil"/>
              <w:bottom w:val="single" w:sz="4" w:space="0" w:color="auto"/>
              <w:right w:val="single" w:sz="4" w:space="0" w:color="auto"/>
            </w:tcBorders>
            <w:shd w:val="clear" w:color="000000" w:fill="FFFFFF"/>
            <w:vAlign w:val="bottom"/>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Valor de las acciones ordinarias suscritas y pagadas, reconocidas por la SFC como Patrimonio Básico Ordinario (PBO) de conformidad con los artículos 2.1.1.1.6 y 2.1.1.1.7 del Decreto 2555 de 2010.</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49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+545</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Valor de las acciones privilegiadas suscritas y pagadas, reconocidas por la SFC como PBO de conformidad con los artículos 2.1.1.1.6 y 2.1.1.1.7 del Decreto 2555 de 2010.</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712"/>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+550</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Valor de las acciones con dividendo preferencial y sin derecho a voto suscritas y pagadas, reconocidas por la SFC como PBO de conformidad con los artículos 2.1.1.1.6 y 2.1.1.1.7 del Decreto 2555 de 2010.</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7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+565</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Valor de los dividendos decretados pagaderos en acciones a las que se refiere la subcuenta 540.</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362"/>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+570</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Valor de los dividendos decretados pagaderos en acciones a las que se refiere la subcuenta 545.</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39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+575</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Valor de los dividendos decretados pagaderos en acciones a las que se refiere la subcuenta 550.</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240"/>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+320510</w:t>
            </w:r>
          </w:p>
        </w:tc>
        <w:tc>
          <w:tcPr>
            <w:tcW w:w="5520" w:type="dxa"/>
            <w:tcBorders>
              <w:top w:val="nil"/>
              <w:left w:val="nil"/>
              <w:bottom w:val="single" w:sz="4" w:space="0" w:color="auto"/>
              <w:right w:val="single" w:sz="4" w:space="0" w:color="auto"/>
            </w:tcBorders>
            <w:shd w:val="clear" w:color="000000" w:fill="FFFFFF"/>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Prima en colocación de acciones</w:t>
            </w:r>
          </w:p>
        </w:tc>
        <w:tc>
          <w:tcPr>
            <w:tcW w:w="2160"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240"/>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-320515</w:t>
            </w:r>
          </w:p>
        </w:tc>
        <w:tc>
          <w:tcPr>
            <w:tcW w:w="5520" w:type="dxa"/>
            <w:tcBorders>
              <w:top w:val="nil"/>
              <w:left w:val="nil"/>
              <w:bottom w:val="single" w:sz="4" w:space="0" w:color="auto"/>
              <w:right w:val="single" w:sz="4" w:space="0" w:color="auto"/>
            </w:tcBorders>
            <w:shd w:val="clear" w:color="000000" w:fill="FFFFFF"/>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Prima en colocación de acciones por cobrar (-)</w:t>
            </w:r>
          </w:p>
        </w:tc>
        <w:tc>
          <w:tcPr>
            <w:tcW w:w="2160"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222"/>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+605</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Valor de los anticipos de capital destinados al pago de una futura emisión de acciones. Los dineros así recibidos deben permanecer en esta subcuenta hasta por un término máximo de cuatro meses </w:t>
            </w:r>
            <w:r w:rsidRPr="007D7653">
              <w:rPr>
                <w:rFonts w:ascii="Arial" w:hAnsi="Arial" w:cs="Arial"/>
                <w:snapToGrid/>
                <w:color w:val="000000"/>
                <w:sz w:val="18"/>
                <w:szCs w:val="18"/>
                <w:lang w:val="es-CO" w:eastAsia="es-CO"/>
              </w:rPr>
              <w:lastRenderedPageBreak/>
              <w:t xml:space="preserve">contados a partir de la fecha de ingreso de los recursos al balance. Transcurrido este término, el anticipo debe dejar de computar en el PBO. En adición a lo anterior, se debe tener en cuenta las instrucciones establecidas en la cuenta 2750 del PUC Financiero.  </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lastRenderedPageBreak/>
              <w:t>100%</w:t>
            </w:r>
          </w:p>
        </w:tc>
      </w:tr>
      <w:tr w:rsidR="000D4234" w:rsidRPr="007D7653" w:rsidTr="00CD6F78">
        <w:trPr>
          <w:trHeight w:val="144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noProof/>
                <w:snapToGrid/>
                <w:color w:val="000000"/>
                <w:sz w:val="18"/>
                <w:szCs w:val="18"/>
                <w:lang w:val="es-CO" w:eastAsia="es-CO"/>
              </w:rPr>
              <w:lastRenderedPageBreak/>
              <mc:AlternateContent>
                <mc:Choice Requires="wps">
                  <w:drawing>
                    <wp:anchor distT="0" distB="0" distL="114298" distR="114298" simplePos="0" relativeHeight="251737088" behindDoc="0" locked="0" layoutInCell="1" allowOverlap="1" wp14:anchorId="2260A690" wp14:editId="70E2B063">
                      <wp:simplePos x="0" y="0"/>
                      <wp:positionH relativeFrom="column">
                        <wp:posOffset>-95886</wp:posOffset>
                      </wp:positionH>
                      <wp:positionV relativeFrom="paragraph">
                        <wp:posOffset>12065</wp:posOffset>
                      </wp:positionV>
                      <wp:extent cx="0" cy="1605915"/>
                      <wp:effectExtent l="0" t="0" r="19050" b="13335"/>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59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3 Conector recto" o:spid="_x0000_s1026" style="position:absolute;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55pt,.95pt" to="-7.55pt,1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" strokecolor="black [3213]">
                      <o:lock v:ext="edit" shapetype="f"/>
                    </v:line>
                  </w:pict>
                </mc:Fallback>
              </mc:AlternateContent>
            </w:r>
          </w:p>
          <w:p w:rsidR="000D4234" w:rsidRPr="007D7653" w:rsidRDefault="000D4234" w:rsidP="00CD6F78">
            <w:pPr>
              <w:jc w:val="center"/>
              <w:rPr>
                <w:rFonts w:ascii="Arial" w:hAnsi="Arial" w:cs="Arial"/>
                <w:snapToGrid/>
                <w:color w:val="000000"/>
                <w:sz w:val="18"/>
                <w:szCs w:val="18"/>
                <w:lang w:val="es-CO" w:eastAsia="es-CO"/>
              </w:rPr>
            </w:pPr>
          </w:p>
          <w:p w:rsidR="000D4234" w:rsidRPr="007D7653" w:rsidRDefault="000D4234" w:rsidP="00CD6F78">
            <w:pPr>
              <w:jc w:val="center"/>
              <w:rPr>
                <w:rFonts w:ascii="Arial" w:hAnsi="Arial" w:cs="Arial"/>
                <w:snapToGrid/>
                <w:color w:val="000000"/>
                <w:sz w:val="18"/>
                <w:szCs w:val="18"/>
                <w:lang w:val="es-CO" w:eastAsia="es-CO"/>
              </w:rPr>
            </w:pPr>
          </w:p>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+445</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Bonos subordinados efectivamente suscritos por el </w:t>
            </w:r>
            <w:proofErr w:type="spellStart"/>
            <w:r w:rsidRPr="007D7653">
              <w:rPr>
                <w:rFonts w:ascii="Arial" w:hAnsi="Arial" w:cs="Arial"/>
                <w:snapToGrid/>
                <w:color w:val="000000"/>
                <w:sz w:val="18"/>
                <w:szCs w:val="18"/>
                <w:lang w:val="es-CO" w:eastAsia="es-CO"/>
              </w:rPr>
              <w:t>Fogafin</w:t>
            </w:r>
            <w:proofErr w:type="spellEnd"/>
            <w:r w:rsidRPr="007D7653">
              <w:rPr>
                <w:rFonts w:ascii="Arial" w:hAnsi="Arial" w:cs="Arial"/>
                <w:snapToGrid/>
                <w:color w:val="000000"/>
                <w:sz w:val="18"/>
                <w:szCs w:val="18"/>
                <w:lang w:val="es-CO" w:eastAsia="es-CO"/>
              </w:rPr>
              <w:t xml:space="preserve"> </w:t>
            </w:r>
            <w:r w:rsidRPr="007D7653">
              <w:rPr>
                <w:rFonts w:ascii="Arial" w:hAnsi="Arial" w:cs="Arial"/>
                <w:b/>
                <w:snapToGrid/>
                <w:color w:val="000000"/>
                <w:sz w:val="18"/>
                <w:szCs w:val="18"/>
                <w:lang w:val="es-CO" w:eastAsia="es-CO"/>
              </w:rPr>
              <w:t>o el Fondo de Garantías de Entidades Cooperativas (</w:t>
            </w:r>
            <w:proofErr w:type="spellStart"/>
            <w:r w:rsidRPr="007D7653">
              <w:rPr>
                <w:rFonts w:ascii="Arial" w:hAnsi="Arial" w:cs="Arial"/>
                <w:b/>
                <w:snapToGrid/>
                <w:color w:val="000000"/>
                <w:sz w:val="18"/>
                <w:szCs w:val="18"/>
                <w:lang w:val="es-CO" w:eastAsia="es-CO"/>
              </w:rPr>
              <w:t>Fogacoop</w:t>
            </w:r>
            <w:proofErr w:type="spellEnd"/>
            <w:r w:rsidRPr="007D7653">
              <w:rPr>
                <w:rFonts w:ascii="Arial" w:hAnsi="Arial" w:cs="Arial"/>
                <w:b/>
                <w:snapToGrid/>
                <w:color w:val="000000"/>
                <w:sz w:val="18"/>
                <w:szCs w:val="18"/>
                <w:lang w:val="es-CO" w:eastAsia="es-CO"/>
              </w:rPr>
              <w:t>)</w:t>
            </w:r>
            <w:r w:rsidRPr="007D7653">
              <w:rPr>
                <w:rFonts w:ascii="Arial" w:hAnsi="Arial" w:cs="Arial"/>
                <w:snapToGrid/>
                <w:color w:val="000000"/>
                <w:sz w:val="18"/>
                <w:szCs w:val="18"/>
                <w:lang w:val="es-CO" w:eastAsia="es-CO"/>
              </w:rPr>
              <w:t xml:space="preserve"> con el propósito de fortalecer patrimonialmente entidades financieras emisoras de tales instrumentos de deuda, siempre que en el respectivo prospecto de emisión se establezca con carácter irrevocable que: i) en los eventos de liquidación el importe de su valor quedará subordinado al pago del pasivo externo; ii) los títulos se emitan a plazos no inferiores a cinco (5) años.</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838"/>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+590</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Valor de los instrumentos emitidos, avalados o garantizados por </w:t>
            </w:r>
            <w:proofErr w:type="spellStart"/>
            <w:r w:rsidRPr="007D7653">
              <w:rPr>
                <w:rFonts w:ascii="Arial" w:hAnsi="Arial" w:cs="Arial"/>
                <w:snapToGrid/>
                <w:color w:val="000000"/>
                <w:sz w:val="18"/>
                <w:szCs w:val="18"/>
                <w:lang w:val="es-CO" w:eastAsia="es-CO"/>
              </w:rPr>
              <w:t>Fogafin</w:t>
            </w:r>
            <w:proofErr w:type="spellEnd"/>
            <w:r w:rsidRPr="007D7653">
              <w:rPr>
                <w:rFonts w:ascii="Arial" w:hAnsi="Arial" w:cs="Arial"/>
                <w:snapToGrid/>
                <w:color w:val="000000"/>
                <w:sz w:val="18"/>
                <w:szCs w:val="18"/>
                <w:lang w:val="es-CO" w:eastAsia="es-CO"/>
              </w:rPr>
              <w:t xml:space="preserve"> </w:t>
            </w:r>
            <w:r w:rsidRPr="007D7653">
              <w:rPr>
                <w:rFonts w:ascii="Arial" w:hAnsi="Arial" w:cs="Arial"/>
                <w:b/>
                <w:snapToGrid/>
                <w:color w:val="000000"/>
                <w:sz w:val="18"/>
                <w:szCs w:val="18"/>
                <w:lang w:val="es-CO" w:eastAsia="es-CO"/>
              </w:rPr>
              <w:t xml:space="preserve">o </w:t>
            </w:r>
            <w:proofErr w:type="spellStart"/>
            <w:r w:rsidRPr="007D7653">
              <w:rPr>
                <w:rFonts w:ascii="Arial" w:hAnsi="Arial" w:cs="Arial"/>
                <w:b/>
                <w:snapToGrid/>
                <w:color w:val="000000"/>
                <w:sz w:val="18"/>
                <w:szCs w:val="18"/>
                <w:lang w:val="es-CO" w:eastAsia="es-CO"/>
              </w:rPr>
              <w:t>Fogacoop</w:t>
            </w:r>
            <w:proofErr w:type="spellEnd"/>
            <w:r w:rsidRPr="007D7653">
              <w:rPr>
                <w:rFonts w:ascii="Arial" w:hAnsi="Arial" w:cs="Arial"/>
                <w:snapToGrid/>
                <w:color w:val="000000"/>
                <w:sz w:val="18"/>
                <w:szCs w:val="18"/>
                <w:lang w:val="es-CO" w:eastAsia="es-CO"/>
              </w:rPr>
              <w:t>, destinados al fortalecimiento patrimonial de las entidades financieras, diferente a los instrumentos a los que se refiere la subcuenta 445 y la cuenta 8101 del PUC Financiero.</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24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+315000</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Ajuste por conversión de estados financieros</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24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+320505</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Apropiación de utilidades líquidas</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240"/>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+341000</w:t>
            </w:r>
          </w:p>
        </w:tc>
        <w:tc>
          <w:tcPr>
            <w:tcW w:w="5520" w:type="dxa"/>
            <w:tcBorders>
              <w:top w:val="nil"/>
              <w:left w:val="nil"/>
              <w:bottom w:val="single" w:sz="4" w:space="0" w:color="auto"/>
              <w:right w:val="single" w:sz="4" w:space="0" w:color="auto"/>
            </w:tcBorders>
            <w:shd w:val="clear" w:color="000000" w:fill="FFFFFF"/>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Donaciones</w:t>
            </w:r>
          </w:p>
        </w:tc>
        <w:tc>
          <w:tcPr>
            <w:tcW w:w="2160"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24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+810100</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Capital garantía</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539"/>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+610</w:t>
            </w:r>
          </w:p>
        </w:tc>
        <w:tc>
          <w:tcPr>
            <w:tcW w:w="5520" w:type="dxa"/>
            <w:tcBorders>
              <w:top w:val="nil"/>
              <w:left w:val="nil"/>
              <w:bottom w:val="single" w:sz="4" w:space="0" w:color="auto"/>
              <w:right w:val="single" w:sz="4" w:space="0" w:color="auto"/>
            </w:tcBorders>
            <w:shd w:val="clear" w:color="000000" w:fill="FFFFFF"/>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Valor del interés minoritario reconocido en el PBO de la entidad </w:t>
            </w:r>
            <w:proofErr w:type="spellStart"/>
            <w:r w:rsidRPr="007D7653">
              <w:rPr>
                <w:rFonts w:ascii="Arial" w:hAnsi="Arial" w:cs="Arial"/>
                <w:snapToGrid/>
                <w:color w:val="000000"/>
                <w:sz w:val="18"/>
                <w:szCs w:val="18"/>
                <w:lang w:val="es-CO" w:eastAsia="es-CO"/>
              </w:rPr>
              <w:t>consolidante</w:t>
            </w:r>
            <w:proofErr w:type="spellEnd"/>
            <w:r w:rsidRPr="007D7653">
              <w:rPr>
                <w:rFonts w:ascii="Arial" w:hAnsi="Arial" w:cs="Arial"/>
                <w:snapToGrid/>
                <w:color w:val="000000"/>
                <w:sz w:val="18"/>
                <w:szCs w:val="18"/>
                <w:lang w:val="es-CO" w:eastAsia="es-CO"/>
              </w:rPr>
              <w:t xml:space="preserve"> calculado en los términos definidos en el Capítulo XIII-13 de la Circular Básica Contable y Financiera (CBCF).</w:t>
            </w:r>
          </w:p>
        </w:tc>
        <w:tc>
          <w:tcPr>
            <w:tcW w:w="2160"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2622"/>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rPr>
                <w:rFonts w:ascii="Arial" w:hAnsi="Arial" w:cs="Arial"/>
                <w:snapToGrid/>
                <w:color w:val="000000"/>
                <w:sz w:val="18"/>
                <w:szCs w:val="18"/>
                <w:lang w:val="es-CO" w:eastAsia="es-CO"/>
              </w:rPr>
            </w:pPr>
            <w:r w:rsidRPr="007D7653">
              <w:rPr>
                <w:rFonts w:ascii="Arial" w:hAnsi="Arial" w:cs="Arial"/>
                <w:noProof/>
                <w:snapToGrid/>
                <w:color w:val="000000"/>
                <w:sz w:val="18"/>
                <w:szCs w:val="18"/>
                <w:lang w:val="es-CO" w:eastAsia="es-CO"/>
              </w:rPr>
              <mc:AlternateContent>
                <mc:Choice Requires="wps">
                  <w:drawing>
                    <wp:anchor distT="0" distB="0" distL="114300" distR="114300" simplePos="0" relativeHeight="251740160" behindDoc="0" locked="0" layoutInCell="1" allowOverlap="1" wp14:anchorId="4395AA25" wp14:editId="5FAD21BC">
                      <wp:simplePos x="0" y="0"/>
                      <wp:positionH relativeFrom="column">
                        <wp:posOffset>-99695</wp:posOffset>
                      </wp:positionH>
                      <wp:positionV relativeFrom="paragraph">
                        <wp:posOffset>70485</wp:posOffset>
                      </wp:positionV>
                      <wp:extent cx="0" cy="5521960"/>
                      <wp:effectExtent l="0" t="0" r="19050" b="21590"/>
                      <wp:wrapNone/>
                      <wp:docPr id="20" name="20 Conector recto"/>
                      <wp:cNvGraphicFramePr/>
                      <a:graphic xmlns:a="http://schemas.openxmlformats.org/drawingml/2006/main">
                        <a:graphicData uri="http://schemas.microsoft.com/office/word/2010/wordprocessingShape">
                          <wps:wsp>
                            <wps:cNvCnPr/>
                            <wps:spPr>
                              <a:xfrm>
                                <a:off x="0" y="0"/>
                                <a:ext cx="0" cy="5521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0 Conector recto"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5.55pt" to="-7.85pt,4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" strokecolor="black [3213]"/>
                  </w:pict>
                </mc:Fallback>
              </mc:AlternateContent>
            </w:r>
          </w:p>
          <w:p w:rsidR="000D4234" w:rsidRPr="007D7653" w:rsidRDefault="000D4234" w:rsidP="00CD6F78">
            <w:pPr>
              <w:rPr>
                <w:rFonts w:ascii="Arial" w:hAnsi="Arial" w:cs="Arial"/>
                <w:snapToGrid/>
                <w:color w:val="000000"/>
                <w:sz w:val="18"/>
                <w:szCs w:val="18"/>
                <w:lang w:val="es-CO" w:eastAsia="es-CO"/>
              </w:rPr>
            </w:pPr>
          </w:p>
          <w:p w:rsidR="000D4234" w:rsidRPr="007D7653" w:rsidRDefault="000D4234" w:rsidP="00CD6F78">
            <w:pPr>
              <w:rPr>
                <w:rFonts w:ascii="Arial" w:hAnsi="Arial" w:cs="Arial"/>
                <w:snapToGrid/>
                <w:color w:val="000000"/>
                <w:sz w:val="18"/>
                <w:szCs w:val="18"/>
                <w:lang w:val="es-CO" w:eastAsia="es-CO"/>
              </w:rPr>
            </w:pPr>
          </w:p>
          <w:p w:rsidR="000D4234" w:rsidRPr="007D7653" w:rsidRDefault="000D4234" w:rsidP="00CD6F78">
            <w:pPr>
              <w:rPr>
                <w:rFonts w:ascii="Arial" w:hAnsi="Arial" w:cs="Arial"/>
                <w:snapToGrid/>
                <w:color w:val="000000"/>
                <w:sz w:val="18"/>
                <w:szCs w:val="18"/>
                <w:lang w:val="es-CO" w:eastAsia="es-CO"/>
              </w:rPr>
            </w:pPr>
          </w:p>
          <w:p w:rsidR="000D4234" w:rsidRPr="007D7653" w:rsidRDefault="000D4234" w:rsidP="00CD6F78">
            <w:pPr>
              <w:rPr>
                <w:rFonts w:ascii="Arial" w:hAnsi="Arial" w:cs="Arial"/>
                <w:snapToGrid/>
                <w:color w:val="000000"/>
                <w:sz w:val="18"/>
                <w:szCs w:val="18"/>
                <w:lang w:val="es-CO" w:eastAsia="es-CO"/>
              </w:rPr>
            </w:pPr>
          </w:p>
          <w:p w:rsidR="000D4234" w:rsidRPr="007D7653" w:rsidRDefault="000D4234" w:rsidP="00CD6F78">
            <w:pPr>
              <w:rPr>
                <w:rFonts w:ascii="Arial" w:hAnsi="Arial" w:cs="Arial"/>
                <w:snapToGrid/>
                <w:color w:val="000000"/>
                <w:sz w:val="18"/>
                <w:szCs w:val="18"/>
                <w:lang w:val="es-CO" w:eastAsia="es-CO"/>
              </w:rPr>
            </w:pPr>
          </w:p>
          <w:p w:rsidR="000D4234" w:rsidRPr="007D7653" w:rsidRDefault="000D4234" w:rsidP="00CD6F78">
            <w:pPr>
              <w:rPr>
                <w:rFonts w:ascii="Arial" w:hAnsi="Arial" w:cs="Arial"/>
                <w:snapToGrid/>
                <w:color w:val="000000"/>
                <w:sz w:val="18"/>
                <w:szCs w:val="18"/>
                <w:lang w:val="es-CO" w:eastAsia="es-CO"/>
              </w:rPr>
            </w:pPr>
          </w:p>
          <w:p w:rsidR="000D4234" w:rsidRPr="007D7653" w:rsidRDefault="000D4234" w:rsidP="00CD6F78">
            <w:pPr>
              <w:rPr>
                <w:rFonts w:ascii="Arial" w:hAnsi="Arial" w:cs="Arial"/>
                <w:snapToGrid/>
                <w:color w:val="000000"/>
                <w:sz w:val="18"/>
                <w:szCs w:val="18"/>
                <w:lang w:val="es-CO" w:eastAsia="es-CO"/>
              </w:rPr>
            </w:pPr>
          </w:p>
          <w:p w:rsidR="000D4234" w:rsidRPr="007D7653" w:rsidRDefault="000D4234" w:rsidP="00CD6F78">
            <w:pPr>
              <w:rPr>
                <w:rFonts w:ascii="Arial" w:hAnsi="Arial" w:cs="Arial"/>
                <w:snapToGrid/>
                <w:color w:val="000000"/>
                <w:sz w:val="18"/>
                <w:szCs w:val="18"/>
                <w:lang w:val="es-CO" w:eastAsia="es-CO"/>
              </w:rPr>
            </w:pPr>
          </w:p>
          <w:p w:rsidR="000D4234" w:rsidRPr="007D7653" w:rsidRDefault="000D4234" w:rsidP="00CD6F78">
            <w:pP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-082</w:t>
            </w:r>
          </w:p>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4"/>
                <w:szCs w:val="18"/>
                <w:lang w:val="es-CO" w:eastAsia="es-CO"/>
              </w:rPr>
              <w:t>(deducciones al PBO)</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Valor de las inversiones de capital, así como de las inversiones en bonos obligatoriamente convertibles en acciones, en bonos subordinados opcionalmente convertibles en acciones o, en general en instrumentos de deuda subordinada, efectuadas en forma directa e indirecta en entidades sometidas al control y vigilancia de la Superintendencia Financiera de Colombia (SFC), respecto de las cuales no haya lugar a consolidación, sin incluir sus valorizaciones. Se exceptúan las inversiones de capital en </w:t>
            </w:r>
            <w:proofErr w:type="spellStart"/>
            <w:r w:rsidRPr="007D7653">
              <w:rPr>
                <w:rFonts w:ascii="Arial" w:hAnsi="Arial" w:cs="Arial"/>
                <w:snapToGrid/>
                <w:color w:val="000000"/>
                <w:sz w:val="18"/>
                <w:szCs w:val="18"/>
                <w:lang w:val="es-CO" w:eastAsia="es-CO"/>
              </w:rPr>
              <w:t>Finagro</w:t>
            </w:r>
            <w:proofErr w:type="spellEnd"/>
            <w:r w:rsidRPr="007D7653">
              <w:rPr>
                <w:rFonts w:ascii="Arial" w:hAnsi="Arial" w:cs="Arial"/>
                <w:snapToGrid/>
                <w:color w:val="000000"/>
                <w:sz w:val="18"/>
                <w:szCs w:val="18"/>
                <w:lang w:val="es-CO" w:eastAsia="es-CO"/>
              </w:rPr>
              <w:t xml:space="preserve"> y las inversiones efectuadas en otra institución financiera vigilada por la SFC para adelantar un proceso de adquisición de los que trata el artículo 63 del Estatuto Orgánico del Sistema Financiero (EOSF), durante los plazos establecidos en el inciso 2, numeral 2 o en el parágrafo 2 del mismo artículo.</w:t>
            </w:r>
            <w:r w:rsidRPr="007D7653">
              <w:rPr>
                <w:rFonts w:ascii="Arial" w:hAnsi="Arial" w:cs="Arial"/>
                <w:b/>
                <w:snapToGrid/>
                <w:color w:val="000000"/>
                <w:sz w:val="18"/>
                <w:szCs w:val="18"/>
                <w:lang w:val="es-CO" w:eastAsia="es-CO"/>
              </w:rPr>
              <w:t xml:space="preserve"> Los aportes que los Establecimientos de Crédito de Naturaleza Cooperativa posean en otras entidades de naturaleza solidaria se consideran inversiones de capital de acuerdo con lo previsto en el parágrafo del artículo 2.1.1.1.11 del Decreto 2555 de 2010. </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152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rPr>
                <w:rFonts w:ascii="Arial" w:hAnsi="Arial" w:cs="Arial"/>
                <w:snapToGrid/>
                <w:color w:val="000000"/>
                <w:sz w:val="18"/>
                <w:szCs w:val="18"/>
                <w:lang w:val="es-CO" w:eastAsia="es-CO"/>
              </w:rPr>
            </w:pPr>
          </w:p>
          <w:p w:rsidR="000D4234" w:rsidRPr="007D7653" w:rsidRDefault="000D4234" w:rsidP="00CD6F78">
            <w:pP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 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-650</w:t>
            </w:r>
          </w:p>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4"/>
                <w:szCs w:val="18"/>
                <w:lang w:val="es-CO" w:eastAsia="es-CO"/>
              </w:rPr>
              <w:t>(deducciones al PBO)</w:t>
            </w:r>
          </w:p>
        </w:tc>
        <w:tc>
          <w:tcPr>
            <w:tcW w:w="5520" w:type="dxa"/>
            <w:tcBorders>
              <w:top w:val="nil"/>
              <w:left w:val="nil"/>
              <w:bottom w:val="single" w:sz="4" w:space="0" w:color="auto"/>
              <w:right w:val="single" w:sz="4" w:space="0" w:color="auto"/>
            </w:tcBorders>
            <w:shd w:val="clear" w:color="000000" w:fill="FFFFFF"/>
            <w:vAlign w:val="center"/>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Valor de las inversiones de capital, así como de las inversiones en bonos obligatoriamente convertibles en acciones, en bonos subordinados opcionalmente convertibles en acciones o, en general, en instrumentos de deuda subordinada, efectuadas en forma directa o indirecta en entidades financieras del exterior, sin incluir sus valorizaciones e incluyendo su ajuste de cambio, cuando se trate de entidades respecto a las cuales no haya lugar a consolidación.</w:t>
            </w:r>
            <w:r w:rsidRPr="007D7653">
              <w:rPr>
                <w:rFonts w:ascii="Arial" w:hAnsi="Arial" w:cs="Arial"/>
                <w:b/>
                <w:snapToGrid/>
                <w:color w:val="000000"/>
                <w:sz w:val="18"/>
                <w:szCs w:val="18"/>
                <w:lang w:val="es-CO" w:eastAsia="es-CO"/>
              </w:rPr>
              <w:t xml:space="preserve"> Los aportes que los Establecimientos de Crédito de Naturaleza Cooperativa posean en otras entidades de naturaleza solidaria se consideran inversiones de capital de acuerdo con lo previsto en el parágrafo del artículo 2.1.1.1.11 del Decreto 2555 de 2010.</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1152"/>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+655</w:t>
            </w:r>
          </w:p>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4"/>
                <w:szCs w:val="18"/>
                <w:lang w:val="es-CO" w:eastAsia="es-CO"/>
              </w:rPr>
              <w:t>(deducciones al PBO)</w:t>
            </w:r>
          </w:p>
        </w:tc>
        <w:tc>
          <w:tcPr>
            <w:tcW w:w="5520" w:type="dxa"/>
            <w:tcBorders>
              <w:top w:val="nil"/>
              <w:left w:val="nil"/>
              <w:bottom w:val="single" w:sz="4" w:space="0" w:color="auto"/>
              <w:right w:val="single" w:sz="4" w:space="0" w:color="auto"/>
            </w:tcBorders>
            <w:shd w:val="clear" w:color="000000" w:fill="FFFFFF"/>
            <w:vAlign w:val="center"/>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Valor de las inversiones en entidades vigiladas por la SFC (sin incluir sus valorizaciones), respecto de las cuales no haya lugar a consolidación y que sean consolidadas por otra entidad vigilada por la SFC, cuando dichas participaciones no puedan ser consideradas como interés minoritario por la </w:t>
            </w:r>
            <w:proofErr w:type="spellStart"/>
            <w:r w:rsidRPr="007D7653">
              <w:rPr>
                <w:rFonts w:ascii="Arial" w:hAnsi="Arial" w:cs="Arial"/>
                <w:snapToGrid/>
                <w:color w:val="000000"/>
                <w:sz w:val="18"/>
                <w:szCs w:val="18"/>
                <w:lang w:val="es-CO" w:eastAsia="es-CO"/>
              </w:rPr>
              <w:t>consolidante</w:t>
            </w:r>
            <w:proofErr w:type="spellEnd"/>
            <w:r w:rsidRPr="007D7653">
              <w:rPr>
                <w:rFonts w:ascii="Arial" w:hAnsi="Arial" w:cs="Arial"/>
                <w:snapToGrid/>
                <w:color w:val="000000"/>
                <w:sz w:val="18"/>
                <w:szCs w:val="18"/>
                <w:lang w:val="es-CO" w:eastAsia="es-CO"/>
              </w:rPr>
              <w:t xml:space="preserve">, de acuerdo con lo establecido en el ordinal iii) del  literal b) del artículo 2.1.1.1.11 y el artículo 2.1.1.1.14 del Decreto 2555 de 2010. </w:t>
            </w:r>
            <w:r w:rsidRPr="007D7653">
              <w:rPr>
                <w:rFonts w:ascii="Arial" w:hAnsi="Arial" w:cs="Arial"/>
                <w:b/>
                <w:snapToGrid/>
                <w:color w:val="000000"/>
                <w:sz w:val="18"/>
                <w:szCs w:val="18"/>
                <w:lang w:val="es-CO" w:eastAsia="es-CO"/>
              </w:rPr>
              <w:t>Los aportes que los Establecimientos de Crédito de Naturaleza Cooperativa posean en otras entidades de naturaleza solidaria se consideran inversiones de capital de acuerdo con lo previsto en el parágrafo del artículo 2.1.1.1.11 del Decreto 2555 de 2010.</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425"/>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-660</w:t>
            </w:r>
          </w:p>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4"/>
                <w:szCs w:val="18"/>
                <w:lang w:val="es-CO" w:eastAsia="es-CO"/>
              </w:rPr>
              <w:t>(deducciones al PBO)</w:t>
            </w:r>
          </w:p>
        </w:tc>
        <w:tc>
          <w:tcPr>
            <w:tcW w:w="5520" w:type="dxa"/>
            <w:tcBorders>
              <w:top w:val="nil"/>
              <w:left w:val="nil"/>
              <w:bottom w:val="single" w:sz="4" w:space="0" w:color="auto"/>
              <w:right w:val="single" w:sz="4" w:space="0" w:color="auto"/>
            </w:tcBorders>
            <w:shd w:val="clear" w:color="000000" w:fill="FFFFFF"/>
            <w:vAlign w:val="center"/>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Valor de los activos intangibles registrados a partir del 23 de agosto de 2012.</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bl>
    <w:p w:rsidR="000D4234" w:rsidRPr="007D7653" w:rsidRDefault="000D4234" w:rsidP="000D4234">
      <w:pPr>
        <w:pStyle w:val="Prrafodelista"/>
        <w:ind w:left="1080"/>
        <w:jc w:val="both"/>
        <w:rPr>
          <w:rFonts w:ascii="Arial" w:hAnsi="Arial" w:cs="Arial"/>
          <w:b/>
          <w:sz w:val="18"/>
          <w:szCs w:val="18"/>
          <w:highlight w:val="yellow"/>
        </w:rPr>
      </w:pPr>
    </w:p>
    <w:p w:rsidR="000D4234" w:rsidRPr="007D7653" w:rsidRDefault="000D4234" w:rsidP="000D4234">
      <w:pPr>
        <w:jc w:val="center"/>
        <w:rPr>
          <w:rFonts w:ascii="Arial" w:hAnsi="Arial" w:cs="Arial"/>
          <w:color w:val="000000"/>
          <w:sz w:val="18"/>
          <w:szCs w:val="18"/>
          <w:highlight w:val="yellow"/>
          <w:lang w:val="es-CO" w:eastAsia="es-CO"/>
        </w:rPr>
        <w:sectPr w:rsidR="000D4234" w:rsidRPr="007D7653" w:rsidSect="00B7343E">
          <w:headerReference w:type="default" r:id="rId11"/>
          <w:footerReference w:type="default" r:id="rId12"/>
          <w:headerReference w:type="first" r:id="rId13"/>
          <w:pgSz w:w="12240" w:h="18720" w:code="14"/>
          <w:pgMar w:top="1148" w:right="1134" w:bottom="1701" w:left="1701" w:header="567" w:footer="567" w:gutter="0"/>
          <w:paperSrc w:first="15"/>
          <w:pgNumType w:start="61"/>
          <w:cols w:space="720"/>
          <w:noEndnote/>
          <w:docGrid w:linePitch="272"/>
        </w:sectPr>
      </w:pPr>
    </w:p>
    <w:tbl>
      <w:tblPr>
        <w:tblW w:w="9472" w:type="dxa"/>
        <w:tblInd w:w="65" w:type="dxa"/>
        <w:tblCellMar>
          <w:left w:w="70" w:type="dxa"/>
          <w:right w:w="70" w:type="dxa"/>
        </w:tblCellMar>
        <w:tblLook w:val="04A0" w:firstRow="1" w:lastRow="0" w:firstColumn="1" w:lastColumn="0" w:noHBand="0" w:noVBand="1"/>
      </w:tblPr>
      <w:tblGrid>
        <w:gridCol w:w="731"/>
        <w:gridCol w:w="1061"/>
        <w:gridCol w:w="5520"/>
        <w:gridCol w:w="2160"/>
      </w:tblGrid>
      <w:tr w:rsidR="000D4234" w:rsidRPr="007D7653" w:rsidTr="00CD6F78">
        <w:trPr>
          <w:trHeight w:val="331"/>
          <w:tblHeader/>
        </w:trPr>
        <w:tc>
          <w:tcPr>
            <w:tcW w:w="7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lastRenderedPageBreak/>
              <w:t>Fuente</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Cuenta/</w:t>
            </w:r>
            <w:r w:rsidRPr="007D7653">
              <w:rPr>
                <w:rFonts w:ascii="Arial" w:hAnsi="Arial" w:cs="Arial"/>
                <w:b/>
                <w:bCs/>
                <w:snapToGrid/>
                <w:color w:val="000000"/>
                <w:sz w:val="18"/>
                <w:szCs w:val="18"/>
                <w:lang w:val="es-CO" w:eastAsia="es-CO"/>
              </w:rPr>
              <w:br/>
              <w:t>Subcuenta</w:t>
            </w:r>
          </w:p>
        </w:tc>
        <w:tc>
          <w:tcPr>
            <w:tcW w:w="552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Denominación</w:t>
            </w:r>
          </w:p>
        </w:tc>
        <w:tc>
          <w:tcPr>
            <w:tcW w:w="216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Ponderación</w:t>
            </w:r>
          </w:p>
        </w:tc>
      </w:tr>
      <w:tr w:rsidR="000D4234" w:rsidRPr="007D7653" w:rsidTr="00CD6F78">
        <w:trPr>
          <w:trHeight w:val="129"/>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noProof/>
                <w:snapToGrid/>
                <w:color w:val="000000"/>
                <w:sz w:val="18"/>
                <w:szCs w:val="18"/>
                <w:lang w:val="es-CO" w:eastAsia="es-CO"/>
              </w:rPr>
              <mc:AlternateContent>
                <mc:Choice Requires="wps">
                  <w:drawing>
                    <wp:anchor distT="0" distB="0" distL="114298" distR="114298" simplePos="0" relativeHeight="251739136" behindDoc="0" locked="0" layoutInCell="1" allowOverlap="1" wp14:anchorId="36519C2A" wp14:editId="73E0BD03">
                      <wp:simplePos x="0" y="0"/>
                      <wp:positionH relativeFrom="column">
                        <wp:posOffset>-83185</wp:posOffset>
                      </wp:positionH>
                      <wp:positionV relativeFrom="paragraph">
                        <wp:posOffset>12700</wp:posOffset>
                      </wp:positionV>
                      <wp:extent cx="0" cy="826135"/>
                      <wp:effectExtent l="0" t="0" r="19050" b="12065"/>
                      <wp:wrapNone/>
                      <wp:docPr id="23" name="2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61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3 Conector recto" o:spid="_x0000_s1026" style="position:absolute;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6.55pt,1pt" to="-6.5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" strokecolor="black [3213]">
                      <o:lock v:ext="edit" shapetype="f"/>
                    </v:line>
                  </w:pict>
                </mc:Fallback>
              </mc:AlternateContent>
            </w:r>
          </w:p>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-192040</w:t>
            </w:r>
          </w:p>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4"/>
                <w:szCs w:val="18"/>
                <w:lang w:val="es-CO" w:eastAsia="es-CO"/>
              </w:rPr>
              <w:t>(deducciones al PBO)</w:t>
            </w:r>
          </w:p>
        </w:tc>
        <w:tc>
          <w:tcPr>
            <w:tcW w:w="552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Impuesto de renta diferido "débito" por diferencias temporales</w:t>
            </w:r>
          </w:p>
        </w:tc>
        <w:tc>
          <w:tcPr>
            <w:tcW w:w="2160" w:type="dxa"/>
            <w:vMerge w:val="restart"/>
            <w:tcBorders>
              <w:top w:val="nil"/>
              <w:left w:val="nil"/>
              <w:right w:val="single" w:sz="4" w:space="0" w:color="auto"/>
            </w:tcBorders>
            <w:shd w:val="clear" w:color="000000" w:fill="FFFFFF"/>
            <w:noWrap/>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Si 192040&gt;275500, entonces se reconoce el 100%  de </w:t>
            </w:r>
            <w:r w:rsidRPr="007D7653">
              <w:rPr>
                <w:rFonts w:ascii="Arial" w:hAnsi="Arial" w:cs="Arial"/>
                <w:b/>
                <w:snapToGrid/>
                <w:color w:val="000000"/>
                <w:sz w:val="18"/>
                <w:szCs w:val="18"/>
                <w:lang w:val="es-CO" w:eastAsia="es-CO"/>
              </w:rPr>
              <w:t>las cuentas</w:t>
            </w:r>
            <w:r w:rsidRPr="007D7653">
              <w:rPr>
                <w:rFonts w:ascii="Arial" w:hAnsi="Arial" w:cs="Arial"/>
                <w:snapToGrid/>
                <w:color w:val="000000"/>
                <w:sz w:val="18"/>
                <w:szCs w:val="18"/>
                <w:lang w:val="es-CO" w:eastAsia="es-CO"/>
              </w:rPr>
              <w:t xml:space="preserve"> 192040 y 275500. En caso contrario no pondera en el PBO.</w:t>
            </w:r>
          </w:p>
        </w:tc>
      </w:tr>
      <w:tr w:rsidR="000D4234" w:rsidRPr="007D7653" w:rsidTr="00CD6F78">
        <w:trPr>
          <w:trHeight w:val="129"/>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+275500</w:t>
            </w:r>
          </w:p>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4"/>
                <w:szCs w:val="18"/>
                <w:lang w:val="es-CO" w:eastAsia="es-CO"/>
              </w:rPr>
              <w:t>(deducciones al PBO)</w:t>
            </w:r>
          </w:p>
        </w:tc>
        <w:tc>
          <w:tcPr>
            <w:tcW w:w="552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Impuesto de renta diferido</w:t>
            </w:r>
          </w:p>
        </w:tc>
        <w:tc>
          <w:tcPr>
            <w:tcW w:w="2160" w:type="dxa"/>
            <w:vMerge/>
            <w:tcBorders>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p>
        </w:tc>
      </w:tr>
      <w:tr w:rsidR="000D4234" w:rsidRPr="007D7653" w:rsidTr="00CD6F78">
        <w:trPr>
          <w:trHeight w:val="129"/>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-274010</w:t>
            </w:r>
          </w:p>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4"/>
                <w:szCs w:val="18"/>
                <w:lang w:val="es-CO" w:eastAsia="es-CO"/>
              </w:rPr>
              <w:t>(deducciones al PBO)</w:t>
            </w:r>
          </w:p>
        </w:tc>
        <w:tc>
          <w:tcPr>
            <w:tcW w:w="552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both"/>
              <w:outlineLvl w:val="0"/>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Pensiones de jubilación por amortizar (</w:t>
            </w:r>
            <w:proofErr w:type="spellStart"/>
            <w:r w:rsidRPr="007D7653">
              <w:rPr>
                <w:rFonts w:ascii="Arial" w:hAnsi="Arial" w:cs="Arial"/>
                <w:snapToGrid/>
                <w:color w:val="000000"/>
                <w:sz w:val="18"/>
                <w:szCs w:val="18"/>
                <w:lang w:val="es-CO" w:eastAsia="es-CO"/>
              </w:rPr>
              <w:t>db</w:t>
            </w:r>
            <w:proofErr w:type="spellEnd"/>
            <w:r w:rsidRPr="007D7653">
              <w:rPr>
                <w:rFonts w:ascii="Arial" w:hAnsi="Arial" w:cs="Arial"/>
                <w:snapToGrid/>
                <w:color w:val="000000"/>
                <w:sz w:val="18"/>
                <w:szCs w:val="18"/>
                <w:lang w:val="es-CO" w:eastAsia="es-CO"/>
              </w:rPr>
              <w:t>)</w:t>
            </w:r>
          </w:p>
        </w:tc>
        <w:tc>
          <w:tcPr>
            <w:tcW w:w="2160"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129"/>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-321531</w:t>
            </w:r>
          </w:p>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4"/>
                <w:szCs w:val="18"/>
                <w:lang w:val="es-CO" w:eastAsia="es-CO"/>
              </w:rPr>
              <w:t>(deducciones al PBO)</w:t>
            </w:r>
          </w:p>
        </w:tc>
        <w:tc>
          <w:tcPr>
            <w:tcW w:w="5520" w:type="dxa"/>
            <w:tcBorders>
              <w:top w:val="nil"/>
              <w:left w:val="nil"/>
              <w:bottom w:val="single" w:sz="4" w:space="0" w:color="auto"/>
              <w:right w:val="single" w:sz="4" w:space="0" w:color="auto"/>
            </w:tcBorders>
            <w:shd w:val="clear" w:color="000000" w:fill="FFFFFF"/>
            <w:vAlign w:val="center"/>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Acciones propias readquiridas (</w:t>
            </w:r>
            <w:r w:rsidRPr="007D7653">
              <w:rPr>
                <w:rFonts w:ascii="Arial" w:hAnsi="Arial" w:cs="Arial"/>
                <w:snapToGrid/>
                <w:color w:val="000000"/>
                <w:sz w:val="18"/>
                <w:szCs w:val="18"/>
                <w:lang w:val="es-CO" w:eastAsia="es-CO"/>
              </w:rPr>
              <w:noBreakHyphen/>
              <w:t>)</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7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-350000</w:t>
            </w:r>
          </w:p>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4"/>
                <w:szCs w:val="18"/>
                <w:lang w:val="es-CO" w:eastAsia="es-CO"/>
              </w:rPr>
              <w:t>(deducciones al PBO)</w:t>
            </w:r>
          </w:p>
        </w:tc>
        <w:tc>
          <w:tcPr>
            <w:tcW w:w="5520" w:type="dxa"/>
            <w:tcBorders>
              <w:top w:val="nil"/>
              <w:left w:val="nil"/>
              <w:bottom w:val="single" w:sz="4" w:space="0" w:color="auto"/>
              <w:right w:val="single" w:sz="4" w:space="0" w:color="auto"/>
            </w:tcBorders>
            <w:shd w:val="clear" w:color="000000" w:fill="FFFFFF"/>
            <w:vAlign w:val="center"/>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Resultados de ejercicios anteriores</w:t>
            </w:r>
          </w:p>
        </w:tc>
        <w:tc>
          <w:tcPr>
            <w:tcW w:w="216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Si la cuenta PUC 35&lt;0, se reconoce el 100% del valor absoluto de la cuenta, de lo contrario no pondera en el PBO.</w:t>
            </w:r>
          </w:p>
        </w:tc>
      </w:tr>
    </w:tbl>
    <w:p w:rsidR="000D4234" w:rsidRPr="007D7653" w:rsidRDefault="000D4234" w:rsidP="000D4234">
      <w:pPr>
        <w:jc w:val="center"/>
        <w:rPr>
          <w:rFonts w:ascii="Arial" w:hAnsi="Arial" w:cs="Arial"/>
          <w:color w:val="000000"/>
          <w:sz w:val="18"/>
          <w:szCs w:val="18"/>
          <w:highlight w:val="yellow"/>
          <w:lang w:val="es-CO" w:eastAsia="es-CO"/>
        </w:rPr>
      </w:pPr>
    </w:p>
    <w:p w:rsidR="000D4234" w:rsidRPr="007D7653" w:rsidRDefault="000D4234" w:rsidP="000D4234">
      <w:pPr>
        <w:jc w:val="center"/>
        <w:rPr>
          <w:rFonts w:ascii="Arial" w:hAnsi="Arial" w:cs="Arial"/>
          <w:color w:val="000000"/>
          <w:sz w:val="18"/>
          <w:szCs w:val="18"/>
          <w:highlight w:val="yellow"/>
          <w:lang w:val="es-CO" w:eastAsia="es-CO"/>
        </w:rPr>
        <w:sectPr w:rsidR="000D4234" w:rsidRPr="007D7653" w:rsidSect="00B7343E">
          <w:headerReference w:type="default" r:id="rId14"/>
          <w:footerReference w:type="default" r:id="rId15"/>
          <w:pgSz w:w="12240" w:h="18720" w:code="14"/>
          <w:pgMar w:top="1148" w:right="1134" w:bottom="1701" w:left="1701" w:header="567" w:footer="567" w:gutter="0"/>
          <w:paperSrc w:first="15"/>
          <w:pgNumType w:start="61"/>
          <w:cols w:space="720"/>
          <w:noEndnote/>
          <w:docGrid w:linePitch="272"/>
        </w:sectPr>
      </w:pPr>
    </w:p>
    <w:tbl>
      <w:tblPr>
        <w:tblW w:w="9472" w:type="dxa"/>
        <w:tblInd w:w="65" w:type="dxa"/>
        <w:tblCellMar>
          <w:left w:w="70" w:type="dxa"/>
          <w:right w:w="70" w:type="dxa"/>
        </w:tblCellMar>
        <w:tblLook w:val="04A0" w:firstRow="1" w:lastRow="0" w:firstColumn="1" w:lastColumn="0" w:noHBand="0" w:noVBand="1"/>
      </w:tblPr>
      <w:tblGrid>
        <w:gridCol w:w="731"/>
        <w:gridCol w:w="1061"/>
        <w:gridCol w:w="5520"/>
        <w:gridCol w:w="2160"/>
      </w:tblGrid>
      <w:tr w:rsidR="000D4234" w:rsidRPr="007D7653" w:rsidTr="00CD6F78">
        <w:trPr>
          <w:trHeight w:val="331"/>
          <w:tblHeader/>
        </w:trPr>
        <w:tc>
          <w:tcPr>
            <w:tcW w:w="7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lastRenderedPageBreak/>
              <w:t>Fuente</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Cuenta/</w:t>
            </w:r>
            <w:r w:rsidRPr="007D7653">
              <w:rPr>
                <w:rFonts w:ascii="Arial" w:hAnsi="Arial" w:cs="Arial"/>
                <w:b/>
                <w:bCs/>
                <w:snapToGrid/>
                <w:color w:val="000000"/>
                <w:sz w:val="18"/>
                <w:szCs w:val="18"/>
                <w:lang w:val="es-CO" w:eastAsia="es-CO"/>
              </w:rPr>
              <w:br/>
              <w:t>Subcuenta</w:t>
            </w:r>
          </w:p>
        </w:tc>
        <w:tc>
          <w:tcPr>
            <w:tcW w:w="552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Denominación</w:t>
            </w:r>
          </w:p>
        </w:tc>
        <w:tc>
          <w:tcPr>
            <w:tcW w:w="216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Ponderación</w:t>
            </w:r>
          </w:p>
        </w:tc>
      </w:tr>
      <w:tr w:rsidR="000D4234" w:rsidRPr="007D7653" w:rsidTr="00CD6F78">
        <w:trPr>
          <w:trHeight w:val="876"/>
        </w:trPr>
        <w:tc>
          <w:tcPr>
            <w:tcW w:w="731" w:type="dxa"/>
            <w:tcBorders>
              <w:top w:val="nil"/>
              <w:left w:val="single" w:sz="4" w:space="0" w:color="auto"/>
              <w:bottom w:val="single" w:sz="4" w:space="0" w:color="auto"/>
              <w:right w:val="single" w:sz="4" w:space="0" w:color="auto"/>
            </w:tcBorders>
            <w:shd w:val="clear" w:color="auto" w:fill="auto"/>
            <w:noWrap/>
            <w:vAlign w:val="center"/>
          </w:tcPr>
          <w:p w:rsidR="000D4234" w:rsidRPr="007D7653" w:rsidRDefault="000D4234" w:rsidP="00CD6F78">
            <w:pPr>
              <w:jc w:val="center"/>
              <w:rPr>
                <w:rFonts w:ascii="Arial" w:hAnsi="Arial" w:cs="Arial"/>
                <w:noProof/>
                <w:snapToGrid/>
                <w:color w:val="000000"/>
                <w:sz w:val="18"/>
                <w:szCs w:val="18"/>
                <w:lang w:val="es-CO" w:eastAsia="es-CO"/>
              </w:rPr>
            </w:pPr>
            <w:r w:rsidRPr="007D7653">
              <w:rPr>
                <w:rFonts w:ascii="Arial" w:hAnsi="Arial" w:cs="Arial"/>
                <w:noProof/>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auto" w:fill="auto"/>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-360000</w:t>
            </w:r>
          </w:p>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4"/>
                <w:szCs w:val="18"/>
                <w:lang w:val="es-CO" w:eastAsia="es-CO"/>
              </w:rPr>
              <w:t>(deducciones al PBO)</w:t>
            </w:r>
          </w:p>
        </w:tc>
        <w:tc>
          <w:tcPr>
            <w:tcW w:w="5520" w:type="dxa"/>
            <w:tcBorders>
              <w:top w:val="nil"/>
              <w:left w:val="nil"/>
              <w:bottom w:val="single" w:sz="4" w:space="0" w:color="auto"/>
              <w:right w:val="single" w:sz="4" w:space="0" w:color="auto"/>
            </w:tcBorders>
            <w:shd w:val="clear" w:color="auto" w:fill="auto"/>
            <w:vAlign w:val="center"/>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Resultados del ejercicio</w:t>
            </w:r>
          </w:p>
        </w:tc>
        <w:tc>
          <w:tcPr>
            <w:tcW w:w="2160" w:type="dxa"/>
            <w:tcBorders>
              <w:top w:val="nil"/>
              <w:left w:val="nil"/>
              <w:bottom w:val="single" w:sz="4" w:space="0" w:color="auto"/>
              <w:right w:val="single" w:sz="4" w:space="0" w:color="auto"/>
            </w:tcBorders>
            <w:shd w:val="clear" w:color="auto" w:fill="auto"/>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Si la cuenta PUC 36&lt;0, se reconoce el 100% del valor absoluto de la cuenta, de lo contrario no pondera en el PBO.</w:t>
            </w:r>
          </w:p>
        </w:tc>
      </w:tr>
      <w:tr w:rsidR="000D4234" w:rsidRPr="007D7653" w:rsidTr="00CD6F78">
        <w:trPr>
          <w:trHeight w:val="511"/>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noProof/>
                <w:snapToGrid/>
                <w:color w:val="000000"/>
                <w:sz w:val="18"/>
                <w:szCs w:val="18"/>
                <w:lang w:val="es-CO" w:eastAsia="es-CO"/>
              </w:rPr>
              <mc:AlternateContent>
                <mc:Choice Requires="wps">
                  <w:drawing>
                    <wp:anchor distT="0" distB="0" distL="114299" distR="114299" simplePos="0" relativeHeight="251738112" behindDoc="0" locked="0" layoutInCell="1" allowOverlap="1" wp14:anchorId="056DA3EF" wp14:editId="5A36AC76">
                      <wp:simplePos x="0" y="0"/>
                      <wp:positionH relativeFrom="column">
                        <wp:posOffset>-92710</wp:posOffset>
                      </wp:positionH>
                      <wp:positionV relativeFrom="paragraph">
                        <wp:posOffset>12065</wp:posOffset>
                      </wp:positionV>
                      <wp:extent cx="0" cy="1590675"/>
                      <wp:effectExtent l="0" t="0" r="19050" b="9525"/>
                      <wp:wrapNone/>
                      <wp:docPr id="27" name="2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0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7 Conector recto" o:spid="_x0000_s1026" style="position:absolute;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3pt,.95pt" to="-7.3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" strokecolor="black [3213]">
                      <o:lock v:ext="edit" shapetype="f"/>
                    </v:line>
                  </w:pict>
                </mc:Fallback>
              </mc:AlternateContent>
            </w:r>
          </w:p>
          <w:p w:rsidR="000D4234" w:rsidRPr="007D7653" w:rsidRDefault="000D4234" w:rsidP="00CD6F78">
            <w:pP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 xml:space="preserve"> F.110</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+725</w:t>
            </w:r>
          </w:p>
        </w:tc>
        <w:tc>
          <w:tcPr>
            <w:tcW w:w="552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both"/>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Valor de los aportes sociales amortizados o readquiridos por la entidad en exceso del que esté determinado en los estatutos como monto mínimo de aportes sociales no reducibles.</w:t>
            </w:r>
          </w:p>
        </w:tc>
        <w:tc>
          <w:tcPr>
            <w:tcW w:w="216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100%</w:t>
            </w:r>
          </w:p>
        </w:tc>
      </w:tr>
      <w:tr w:rsidR="000D4234" w:rsidRPr="007D7653" w:rsidTr="00CD6F78">
        <w:trPr>
          <w:trHeight w:val="511"/>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b/>
                <w:snapToGrid/>
                <w:color w:val="000000"/>
                <w:sz w:val="18"/>
                <w:szCs w:val="18"/>
                <w:lang w:val="es-CO" w:eastAsia="es-CO"/>
              </w:rPr>
            </w:pPr>
          </w:p>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 xml:space="preserve"> F.110</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-730</w:t>
            </w:r>
          </w:p>
        </w:tc>
        <w:tc>
          <w:tcPr>
            <w:tcW w:w="552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both"/>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Valor de la prima en colocación de aquellas acciones que no hayan sido reconocidas por la SFC en el Patrimonio Técnico en virtud de los artículos 2.1.1.1.6 y 2.1.1.1.7 del Decreto 2555 de 2010.</w:t>
            </w:r>
          </w:p>
        </w:tc>
        <w:tc>
          <w:tcPr>
            <w:tcW w:w="216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100%</w:t>
            </w:r>
          </w:p>
        </w:tc>
      </w:tr>
      <w:tr w:rsidR="000D4234" w:rsidRPr="007D7653" w:rsidTr="00CD6F78">
        <w:trPr>
          <w:trHeight w:val="210"/>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+314000</w:t>
            </w:r>
          </w:p>
        </w:tc>
        <w:tc>
          <w:tcPr>
            <w:tcW w:w="552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both"/>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Capital mínimo e irreducible  - Sección ahorros</w:t>
            </w:r>
          </w:p>
        </w:tc>
        <w:tc>
          <w:tcPr>
            <w:tcW w:w="216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100%</w:t>
            </w:r>
          </w:p>
        </w:tc>
      </w:tr>
      <w:tr w:rsidR="000D4234" w:rsidRPr="007D7653" w:rsidTr="00CD6F78">
        <w:trPr>
          <w:trHeight w:val="127"/>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+320520</w:t>
            </w:r>
          </w:p>
        </w:tc>
        <w:tc>
          <w:tcPr>
            <w:tcW w:w="552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both"/>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Para protección de aportes sociales</w:t>
            </w:r>
          </w:p>
        </w:tc>
        <w:tc>
          <w:tcPr>
            <w:tcW w:w="216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100%</w:t>
            </w:r>
          </w:p>
        </w:tc>
      </w:tr>
      <w:tr w:rsidR="000D4234" w:rsidRPr="007D7653" w:rsidTr="00CD6F78">
        <w:trPr>
          <w:trHeight w:val="188"/>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+331500</w:t>
            </w:r>
          </w:p>
        </w:tc>
        <w:tc>
          <w:tcPr>
            <w:tcW w:w="552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both"/>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Amortización de aportes sociales</w:t>
            </w:r>
          </w:p>
        </w:tc>
        <w:tc>
          <w:tcPr>
            <w:tcW w:w="216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100%</w:t>
            </w:r>
          </w:p>
        </w:tc>
      </w:tr>
      <w:tr w:rsidR="000D4234" w:rsidRPr="007D7653" w:rsidTr="00CD6F78">
        <w:trPr>
          <w:trHeight w:val="60"/>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+335000</w:t>
            </w:r>
          </w:p>
        </w:tc>
        <w:tc>
          <w:tcPr>
            <w:tcW w:w="552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both"/>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Fondo especial</w:t>
            </w:r>
          </w:p>
        </w:tc>
        <w:tc>
          <w:tcPr>
            <w:tcW w:w="216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center"/>
              <w:rPr>
                <w:rFonts w:ascii="Arial" w:hAnsi="Arial" w:cs="Arial"/>
                <w:b/>
                <w:snapToGrid/>
                <w:color w:val="000000"/>
                <w:sz w:val="18"/>
                <w:szCs w:val="18"/>
                <w:lang w:val="es-CO" w:eastAsia="es-CO"/>
              </w:rPr>
            </w:pPr>
            <w:r w:rsidRPr="007D7653">
              <w:rPr>
                <w:rFonts w:ascii="Arial" w:hAnsi="Arial" w:cs="Arial"/>
                <w:b/>
                <w:snapToGrid/>
                <w:color w:val="000000"/>
                <w:sz w:val="18"/>
                <w:szCs w:val="18"/>
                <w:lang w:val="es-CO" w:eastAsia="es-CO"/>
              </w:rPr>
              <w:t>100%</w:t>
            </w:r>
          </w:p>
        </w:tc>
      </w:tr>
    </w:tbl>
    <w:p w:rsidR="000D4234" w:rsidRPr="007D7653" w:rsidRDefault="000D4234" w:rsidP="000D4234">
      <w:pPr>
        <w:rPr>
          <w:rFonts w:ascii="Arial" w:hAnsi="Arial" w:cs="Arial"/>
          <w:b/>
          <w:sz w:val="18"/>
          <w:szCs w:val="18"/>
          <w:highlight w:val="yellow"/>
        </w:rPr>
      </w:pPr>
    </w:p>
    <w:p w:rsidR="000D4234" w:rsidRPr="007D7653" w:rsidRDefault="000D4234" w:rsidP="000D4234">
      <w:pPr>
        <w:pStyle w:val="Prrafodelista"/>
        <w:numPr>
          <w:ilvl w:val="3"/>
          <w:numId w:val="21"/>
        </w:numPr>
        <w:ind w:left="851" w:hanging="851"/>
        <w:jc w:val="both"/>
        <w:rPr>
          <w:rFonts w:ascii="Arial" w:hAnsi="Arial" w:cs="Arial"/>
          <w:b/>
          <w:sz w:val="18"/>
          <w:szCs w:val="18"/>
        </w:rPr>
      </w:pPr>
      <w:r w:rsidRPr="007D7653">
        <w:rPr>
          <w:rFonts w:ascii="Arial" w:hAnsi="Arial" w:cs="Arial"/>
          <w:b/>
          <w:sz w:val="18"/>
          <w:szCs w:val="18"/>
        </w:rPr>
        <w:t>Inversión indirecta</w:t>
      </w:r>
    </w:p>
    <w:p w:rsidR="000D4234" w:rsidRPr="007D7653" w:rsidRDefault="000D4234" w:rsidP="000D4234">
      <w:pPr>
        <w:pStyle w:val="Prrafodelista"/>
        <w:ind w:left="1080"/>
        <w:jc w:val="both"/>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Para efectos del presente Capítulo, se entiende por inversión indirecta aquella inversión realizada por una entidad vigilada por la SFC (en adelante entidad principal) en una tercera entidad vigilada por la SFC o entidad financiera del exterior por medio de otra(s) entidad(es) o vehículo(s) (en adelante intermediario). Lo anterior, siempre que, de acuerdo con los criterios señalados a continuación,  la entidad principal tenga el diez por ciento (10%) o más del capital de la entidad receptora de la inversión. </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A continuación se señala de manera ilustrativa y enunciativa, algunos ejemplos para determinar la inversión indirecta:</w:t>
      </w:r>
    </w:p>
    <w:p w:rsidR="000D4234" w:rsidRPr="007D7653" w:rsidRDefault="000D4234" w:rsidP="000D4234">
      <w:pPr>
        <w:jc w:val="both"/>
        <w:rPr>
          <w:rFonts w:ascii="Arial" w:hAnsi="Arial" w:cs="Arial"/>
          <w:sz w:val="18"/>
          <w:szCs w:val="18"/>
        </w:rPr>
      </w:pPr>
    </w:p>
    <w:p w:rsidR="000D4234" w:rsidRPr="007D7653" w:rsidRDefault="000D4234" w:rsidP="000D4234">
      <w:pPr>
        <w:pStyle w:val="Prrafodelista"/>
        <w:numPr>
          <w:ilvl w:val="0"/>
          <w:numId w:val="28"/>
        </w:numPr>
        <w:jc w:val="both"/>
        <w:rPr>
          <w:rFonts w:ascii="Arial" w:hAnsi="Arial" w:cs="Arial"/>
          <w:sz w:val="18"/>
          <w:szCs w:val="18"/>
        </w:rPr>
      </w:pPr>
      <w:r w:rsidRPr="007D7653">
        <w:rPr>
          <w:rFonts w:ascii="Arial" w:hAnsi="Arial" w:cs="Arial"/>
          <w:sz w:val="18"/>
          <w:szCs w:val="18"/>
        </w:rPr>
        <w:t xml:space="preserve">Cuando el(los) intermediario(s) </w:t>
      </w:r>
      <w:proofErr w:type="gramStart"/>
      <w:r w:rsidRPr="007D7653">
        <w:rPr>
          <w:rFonts w:ascii="Arial" w:hAnsi="Arial" w:cs="Arial"/>
          <w:sz w:val="18"/>
          <w:szCs w:val="18"/>
        </w:rPr>
        <w:t>es(</w:t>
      </w:r>
      <w:proofErr w:type="gramEnd"/>
      <w:r w:rsidRPr="007D7653">
        <w:rPr>
          <w:rFonts w:ascii="Arial" w:hAnsi="Arial" w:cs="Arial"/>
          <w:sz w:val="18"/>
          <w:szCs w:val="18"/>
        </w:rPr>
        <w:t>son) subordinado(s), controlado(s) o está(n) bajo administración de la entidad principal, la participación de ésta última en la tercera entidad corresponde a la participación del(los) intermediario(s) en dicha entidad.</w:t>
      </w:r>
    </w:p>
    <w:p w:rsidR="000D4234" w:rsidRPr="007D7653" w:rsidRDefault="000D4234" w:rsidP="000D4234">
      <w:pPr>
        <w:pStyle w:val="Prrafodelista"/>
        <w:jc w:val="both"/>
        <w:rPr>
          <w:rFonts w:ascii="Arial" w:hAnsi="Arial" w:cs="Arial"/>
          <w:sz w:val="18"/>
          <w:szCs w:val="18"/>
        </w:rPr>
      </w:pPr>
    </w:p>
    <w:p w:rsidR="000D4234" w:rsidRPr="007D7653" w:rsidRDefault="000D4234" w:rsidP="000D4234">
      <w:pPr>
        <w:pStyle w:val="Prrafodelista"/>
        <w:numPr>
          <w:ilvl w:val="0"/>
          <w:numId w:val="28"/>
        </w:numPr>
        <w:jc w:val="both"/>
        <w:rPr>
          <w:rFonts w:ascii="Arial" w:hAnsi="Arial" w:cs="Arial"/>
          <w:sz w:val="18"/>
          <w:szCs w:val="18"/>
        </w:rPr>
      </w:pPr>
      <w:r w:rsidRPr="007D7653">
        <w:rPr>
          <w:rFonts w:ascii="Arial" w:hAnsi="Arial" w:cs="Arial"/>
          <w:sz w:val="18"/>
          <w:szCs w:val="18"/>
        </w:rPr>
        <w:t xml:space="preserve">Cuando el(los) intermediario(s)  no es(son) subordinado(s), controlado(s) o no está(n) bajo administración de la entidad principal, la participación de ésta última en la tercera entidad corresponde al producto  de las participaciones, es decir, la que tiene la entidad principal en el intermediario multiplicado por la participación de ésta en la tercera entidad. </w:t>
      </w:r>
    </w:p>
    <w:p w:rsidR="000D4234" w:rsidRPr="007D7653" w:rsidRDefault="000D4234" w:rsidP="000D4234">
      <w:pPr>
        <w:pStyle w:val="Prrafodelista"/>
        <w:rPr>
          <w:rFonts w:ascii="Arial" w:hAnsi="Arial" w:cs="Arial"/>
          <w:sz w:val="18"/>
          <w:szCs w:val="18"/>
        </w:rPr>
      </w:pPr>
    </w:p>
    <w:p w:rsidR="000D4234" w:rsidRPr="007D7653" w:rsidRDefault="000D4234" w:rsidP="000D4234">
      <w:pPr>
        <w:pStyle w:val="Prrafodelista"/>
        <w:numPr>
          <w:ilvl w:val="0"/>
          <w:numId w:val="28"/>
        </w:numPr>
        <w:jc w:val="both"/>
        <w:rPr>
          <w:rFonts w:ascii="Arial" w:hAnsi="Arial" w:cs="Arial"/>
          <w:sz w:val="18"/>
          <w:szCs w:val="18"/>
        </w:rPr>
      </w:pPr>
      <w:r w:rsidRPr="007D7653">
        <w:rPr>
          <w:rFonts w:ascii="Arial" w:hAnsi="Arial" w:cs="Arial"/>
          <w:sz w:val="18"/>
          <w:szCs w:val="18"/>
        </w:rPr>
        <w:t>Cuando se realiza mediante la participación de varios intermediarios que son subordinados, controlados o están bajo administración de la entidad principal y aquellos que no son subordinados o controlados, la participación  resulta de aplicar de forma conjunta a) y b).</w:t>
      </w:r>
    </w:p>
    <w:p w:rsidR="000D4234" w:rsidRPr="007D7653" w:rsidRDefault="000D4234" w:rsidP="000D4234">
      <w:pPr>
        <w:pStyle w:val="Prrafodelista"/>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Dicho lo anterior, para definir el valor a deducir de las inversiones indirectas en el Patrimonio Técnico se debe tener en cuenta que:</w:t>
      </w:r>
    </w:p>
    <w:p w:rsidR="000D4234" w:rsidRPr="007D7653" w:rsidRDefault="000D4234" w:rsidP="000D4234">
      <w:pPr>
        <w:jc w:val="both"/>
        <w:rPr>
          <w:rFonts w:ascii="Arial" w:hAnsi="Arial" w:cs="Arial"/>
          <w:sz w:val="18"/>
          <w:szCs w:val="18"/>
        </w:rPr>
      </w:pPr>
    </w:p>
    <w:p w:rsidR="000D4234" w:rsidRPr="007D7653" w:rsidRDefault="000D4234" w:rsidP="000D4234">
      <w:pPr>
        <w:pStyle w:val="Prrafodelista"/>
        <w:numPr>
          <w:ilvl w:val="0"/>
          <w:numId w:val="34"/>
        </w:numPr>
        <w:jc w:val="both"/>
        <w:rPr>
          <w:rFonts w:ascii="Arial" w:hAnsi="Arial" w:cs="Arial"/>
          <w:sz w:val="18"/>
          <w:szCs w:val="18"/>
        </w:rPr>
      </w:pPr>
      <w:r w:rsidRPr="007D7653">
        <w:rPr>
          <w:rFonts w:ascii="Arial" w:hAnsi="Arial" w:cs="Arial"/>
          <w:sz w:val="18"/>
          <w:szCs w:val="18"/>
        </w:rPr>
        <w:t>La entidad principal no debe deducir la inversión indirecta cuando el intermediario sea una entidad vigilada por la SFC que por requerimientos mínimos de solvencia debe deducir de su PT las inversiones indirectas no consolidadas.</w:t>
      </w:r>
    </w:p>
    <w:p w:rsidR="000D4234" w:rsidRPr="007D7653" w:rsidRDefault="000D4234" w:rsidP="000D4234">
      <w:pPr>
        <w:jc w:val="both"/>
        <w:rPr>
          <w:rFonts w:ascii="Arial" w:hAnsi="Arial" w:cs="Arial"/>
          <w:sz w:val="18"/>
          <w:szCs w:val="18"/>
        </w:rPr>
      </w:pPr>
    </w:p>
    <w:p w:rsidR="000D4234" w:rsidRPr="007D7653" w:rsidRDefault="000D4234" w:rsidP="000D4234">
      <w:pPr>
        <w:pStyle w:val="Prrafodelista"/>
        <w:numPr>
          <w:ilvl w:val="2"/>
          <w:numId w:val="21"/>
        </w:numPr>
        <w:ind w:left="851" w:hanging="851"/>
        <w:jc w:val="both"/>
        <w:rPr>
          <w:rFonts w:ascii="Arial" w:hAnsi="Arial" w:cs="Arial"/>
          <w:b/>
          <w:sz w:val="18"/>
          <w:szCs w:val="18"/>
        </w:rPr>
      </w:pPr>
      <w:r w:rsidRPr="007D7653">
        <w:rPr>
          <w:rFonts w:ascii="Arial" w:hAnsi="Arial" w:cs="Arial"/>
          <w:b/>
          <w:sz w:val="18"/>
          <w:szCs w:val="18"/>
        </w:rPr>
        <w:t>Patrimonio Básico Adicional (PBA)</w:t>
      </w:r>
    </w:p>
    <w:p w:rsidR="000D4234" w:rsidRPr="007D7653" w:rsidRDefault="000D4234" w:rsidP="000D4234">
      <w:pPr>
        <w:pStyle w:val="Prrafodelista"/>
        <w:ind w:left="851" w:hanging="851"/>
        <w:jc w:val="both"/>
        <w:rPr>
          <w:rFonts w:ascii="Arial" w:hAnsi="Arial" w:cs="Arial"/>
          <w:b/>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El </w:t>
      </w:r>
      <w:r w:rsidRPr="007D7653">
        <w:rPr>
          <w:rFonts w:ascii="Arial" w:hAnsi="Arial" w:cs="Arial"/>
          <w:b/>
          <w:sz w:val="18"/>
          <w:szCs w:val="18"/>
        </w:rPr>
        <w:t>PBA</w:t>
      </w:r>
      <w:r w:rsidRPr="007D7653">
        <w:rPr>
          <w:rFonts w:ascii="Arial" w:hAnsi="Arial" w:cs="Arial"/>
          <w:sz w:val="18"/>
          <w:szCs w:val="18"/>
        </w:rPr>
        <w:t xml:space="preserve"> comprende los siguientes rubros:</w:t>
      </w:r>
    </w:p>
    <w:p w:rsidR="000D4234" w:rsidRPr="007D7653" w:rsidRDefault="000D4234" w:rsidP="000D4234">
      <w:pPr>
        <w:jc w:val="both"/>
        <w:rPr>
          <w:rFonts w:ascii="Arial" w:hAnsi="Arial" w:cs="Arial"/>
          <w:sz w:val="18"/>
          <w:szCs w:val="18"/>
        </w:rPr>
      </w:pPr>
    </w:p>
    <w:tbl>
      <w:tblPr>
        <w:tblW w:w="9472" w:type="dxa"/>
        <w:tblInd w:w="65" w:type="dxa"/>
        <w:tblCellMar>
          <w:left w:w="70" w:type="dxa"/>
          <w:right w:w="70" w:type="dxa"/>
        </w:tblCellMar>
        <w:tblLook w:val="04A0" w:firstRow="1" w:lastRow="0" w:firstColumn="1" w:lastColumn="0" w:noHBand="0" w:noVBand="1"/>
      </w:tblPr>
      <w:tblGrid>
        <w:gridCol w:w="731"/>
        <w:gridCol w:w="1061"/>
        <w:gridCol w:w="5520"/>
        <w:gridCol w:w="2160"/>
      </w:tblGrid>
      <w:tr w:rsidR="000D4234" w:rsidRPr="007D7653" w:rsidTr="00CD6F78">
        <w:trPr>
          <w:trHeight w:val="391"/>
          <w:tblHeader/>
        </w:trPr>
        <w:tc>
          <w:tcPr>
            <w:tcW w:w="7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Fuente</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Cuenta/</w:t>
            </w:r>
            <w:r w:rsidRPr="007D7653">
              <w:rPr>
                <w:rFonts w:ascii="Arial" w:hAnsi="Arial" w:cs="Arial"/>
                <w:b/>
                <w:bCs/>
                <w:snapToGrid/>
                <w:color w:val="000000"/>
                <w:sz w:val="18"/>
                <w:szCs w:val="18"/>
                <w:lang w:val="es-CO" w:eastAsia="es-CO"/>
              </w:rPr>
              <w:br/>
              <w:t>Subcuenta</w:t>
            </w:r>
          </w:p>
        </w:tc>
        <w:tc>
          <w:tcPr>
            <w:tcW w:w="552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Denominación</w:t>
            </w:r>
          </w:p>
        </w:tc>
        <w:tc>
          <w:tcPr>
            <w:tcW w:w="216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Ponderación</w:t>
            </w:r>
          </w:p>
        </w:tc>
      </w:tr>
      <w:tr w:rsidR="000D4234" w:rsidRPr="007D7653" w:rsidTr="00CD6F78">
        <w:trPr>
          <w:trHeight w:val="115"/>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+555</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Valor de las acciones privilegiadas suscritas y pagadas, reconocidas por la SFC como Patrimonio Básico Adicional (PBA) de conformidad con los artículos 2.1.1.1.6 y 2.1.1.1.8 del Decreto 2555 de 2010.</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55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+560</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Valor de las acciones con dividendo preferencial y sin derecho a voto suscritas y pagadas, reconocidas por la SFC como PBA de conformidad con los artículos 2.1.1.1.6 y 2.1.1.1.8 del Decreto 2555 de 2010.</w:t>
            </w:r>
          </w:p>
        </w:tc>
        <w:tc>
          <w:tcPr>
            <w:tcW w:w="2160" w:type="dxa"/>
            <w:tcBorders>
              <w:top w:val="nil"/>
              <w:left w:val="nil"/>
              <w:bottom w:val="single" w:sz="4" w:space="0" w:color="auto"/>
              <w:right w:val="single" w:sz="4" w:space="0" w:color="auto"/>
            </w:tcBorders>
            <w:shd w:val="clear" w:color="000000" w:fill="FFFFFF"/>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352"/>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+580</w:t>
            </w:r>
          </w:p>
        </w:tc>
        <w:tc>
          <w:tcPr>
            <w:tcW w:w="5520" w:type="dxa"/>
            <w:tcBorders>
              <w:top w:val="nil"/>
              <w:left w:val="nil"/>
              <w:bottom w:val="single" w:sz="4" w:space="0" w:color="auto"/>
              <w:right w:val="single" w:sz="4" w:space="0" w:color="auto"/>
            </w:tcBorders>
            <w:shd w:val="clear" w:color="000000" w:fill="FFFFFF"/>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Valor de los dividendos decretados pagaderos en acciones a las que se refiere la subcuenta 555.</w:t>
            </w:r>
          </w:p>
        </w:tc>
        <w:tc>
          <w:tcPr>
            <w:tcW w:w="2160"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352"/>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+585</w:t>
            </w:r>
          </w:p>
        </w:tc>
        <w:tc>
          <w:tcPr>
            <w:tcW w:w="5520" w:type="dxa"/>
            <w:tcBorders>
              <w:top w:val="nil"/>
              <w:left w:val="nil"/>
              <w:bottom w:val="single" w:sz="4" w:space="0" w:color="auto"/>
              <w:right w:val="single" w:sz="4" w:space="0" w:color="auto"/>
            </w:tcBorders>
            <w:shd w:val="clear" w:color="000000" w:fill="FFFFFF"/>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Valor de los dividendos decretados pagaderos en acciones a las que se refiere la subcuenta 560.</w:t>
            </w:r>
          </w:p>
        </w:tc>
        <w:tc>
          <w:tcPr>
            <w:tcW w:w="2160"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100%</w:t>
            </w:r>
          </w:p>
        </w:tc>
      </w:tr>
      <w:tr w:rsidR="000D4234" w:rsidRPr="007D7653" w:rsidTr="00CD6F78">
        <w:trPr>
          <w:trHeight w:val="352"/>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+615</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Valor del interés minoritario reconocido en el PBA de la entidad </w:t>
            </w:r>
            <w:proofErr w:type="spellStart"/>
            <w:r w:rsidRPr="007D7653">
              <w:rPr>
                <w:rFonts w:ascii="Arial" w:hAnsi="Arial" w:cs="Arial"/>
                <w:snapToGrid/>
                <w:color w:val="000000"/>
                <w:sz w:val="18"/>
                <w:szCs w:val="18"/>
                <w:lang w:val="es-CO" w:eastAsia="es-CO"/>
              </w:rPr>
              <w:t>consolidante</w:t>
            </w:r>
            <w:proofErr w:type="spellEnd"/>
            <w:r w:rsidRPr="007D7653">
              <w:rPr>
                <w:rFonts w:ascii="Arial" w:hAnsi="Arial" w:cs="Arial"/>
                <w:snapToGrid/>
                <w:color w:val="000000"/>
                <w:sz w:val="18"/>
                <w:szCs w:val="18"/>
                <w:lang w:val="es-CO" w:eastAsia="es-CO"/>
              </w:rPr>
              <w:t xml:space="preserve"> calculado en los términos definidos en el Capítulo XIII-13 de la CBCF.</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bl>
    <w:p w:rsidR="000D4234" w:rsidRPr="007D7653" w:rsidRDefault="000D4234" w:rsidP="000D4234">
      <w:pPr>
        <w:pStyle w:val="Prrafodelista"/>
        <w:ind w:left="851"/>
        <w:jc w:val="both"/>
        <w:rPr>
          <w:rFonts w:ascii="Arial" w:hAnsi="Arial" w:cs="Arial"/>
          <w:b/>
          <w:sz w:val="18"/>
          <w:szCs w:val="18"/>
          <w:highlight w:val="yellow"/>
        </w:rPr>
      </w:pPr>
    </w:p>
    <w:p w:rsidR="000D4234" w:rsidRPr="007D7653" w:rsidRDefault="000D4234" w:rsidP="000D4234">
      <w:pPr>
        <w:pStyle w:val="Prrafodelista"/>
        <w:ind w:left="851"/>
        <w:jc w:val="both"/>
        <w:rPr>
          <w:rFonts w:ascii="Arial" w:hAnsi="Arial" w:cs="Arial"/>
          <w:b/>
          <w:sz w:val="18"/>
          <w:szCs w:val="18"/>
          <w:highlight w:val="yellow"/>
        </w:rPr>
      </w:pPr>
    </w:p>
    <w:p w:rsidR="000D4234" w:rsidRPr="007D7653" w:rsidRDefault="000D4234" w:rsidP="000D4234">
      <w:pPr>
        <w:pStyle w:val="Prrafodelista"/>
        <w:ind w:left="851"/>
        <w:jc w:val="both"/>
        <w:rPr>
          <w:rFonts w:ascii="Arial" w:hAnsi="Arial" w:cs="Arial"/>
          <w:b/>
          <w:sz w:val="18"/>
          <w:szCs w:val="18"/>
          <w:highlight w:val="yellow"/>
        </w:rPr>
        <w:sectPr w:rsidR="000D4234" w:rsidRPr="007D7653" w:rsidSect="007612C8">
          <w:headerReference w:type="default" r:id="rId16"/>
          <w:footerReference w:type="default" r:id="rId17"/>
          <w:pgSz w:w="12240" w:h="18720" w:code="14"/>
          <w:pgMar w:top="1148" w:right="1134" w:bottom="1701" w:left="1701" w:header="567" w:footer="567" w:gutter="0"/>
          <w:paperSrc w:first="15"/>
          <w:pgNumType w:start="64"/>
          <w:cols w:space="720"/>
          <w:noEndnote/>
          <w:docGrid w:linePitch="272"/>
        </w:sectPr>
      </w:pPr>
    </w:p>
    <w:p w:rsidR="000D4234" w:rsidRPr="007D7653" w:rsidRDefault="000D4234" w:rsidP="000D4234">
      <w:pPr>
        <w:pStyle w:val="Prrafodelista"/>
        <w:ind w:left="851"/>
        <w:jc w:val="both"/>
        <w:rPr>
          <w:rFonts w:ascii="Arial" w:hAnsi="Arial" w:cs="Arial"/>
          <w:b/>
          <w:sz w:val="18"/>
          <w:szCs w:val="18"/>
          <w:highlight w:val="yellow"/>
        </w:rPr>
      </w:pPr>
    </w:p>
    <w:p w:rsidR="000D4234" w:rsidRPr="007D7653" w:rsidRDefault="000D4234" w:rsidP="000D4234">
      <w:pPr>
        <w:pStyle w:val="Prrafodelista"/>
        <w:numPr>
          <w:ilvl w:val="2"/>
          <w:numId w:val="21"/>
        </w:numPr>
        <w:ind w:left="851" w:hanging="851"/>
        <w:jc w:val="both"/>
        <w:rPr>
          <w:rFonts w:ascii="Arial" w:hAnsi="Arial" w:cs="Arial"/>
          <w:b/>
          <w:sz w:val="18"/>
          <w:szCs w:val="18"/>
        </w:rPr>
      </w:pPr>
      <w:r w:rsidRPr="007D7653">
        <w:rPr>
          <w:rFonts w:ascii="Arial" w:hAnsi="Arial" w:cs="Arial"/>
          <w:b/>
          <w:sz w:val="18"/>
          <w:szCs w:val="18"/>
        </w:rPr>
        <w:t>Patrimonio Adicional (PA)</w:t>
      </w:r>
    </w:p>
    <w:p w:rsidR="000D4234" w:rsidRPr="007D7653" w:rsidRDefault="000D4234" w:rsidP="000D4234">
      <w:pPr>
        <w:ind w:left="360"/>
        <w:jc w:val="both"/>
        <w:rPr>
          <w:rFonts w:ascii="Arial" w:hAnsi="Arial" w:cs="Arial"/>
          <w:b/>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El </w:t>
      </w:r>
      <w:r w:rsidRPr="007D7653">
        <w:rPr>
          <w:rFonts w:ascii="Arial" w:hAnsi="Arial" w:cs="Arial"/>
          <w:b/>
          <w:sz w:val="18"/>
          <w:szCs w:val="18"/>
        </w:rPr>
        <w:t>PA</w:t>
      </w:r>
      <w:r w:rsidRPr="007D7653">
        <w:rPr>
          <w:rFonts w:ascii="Arial" w:hAnsi="Arial" w:cs="Arial"/>
          <w:sz w:val="18"/>
          <w:szCs w:val="18"/>
        </w:rPr>
        <w:t xml:space="preserve"> comprende los siguientes rubros:</w:t>
      </w:r>
    </w:p>
    <w:p w:rsidR="000D4234" w:rsidRPr="007D7653" w:rsidRDefault="000D4234" w:rsidP="000D4234">
      <w:pPr>
        <w:jc w:val="both"/>
        <w:rPr>
          <w:rFonts w:ascii="Arial" w:hAnsi="Arial" w:cs="Arial"/>
          <w:b/>
          <w:sz w:val="18"/>
          <w:szCs w:val="18"/>
        </w:rPr>
      </w:pPr>
    </w:p>
    <w:tbl>
      <w:tblPr>
        <w:tblW w:w="9472" w:type="dxa"/>
        <w:tblInd w:w="65" w:type="dxa"/>
        <w:tblCellMar>
          <w:left w:w="70" w:type="dxa"/>
          <w:right w:w="70" w:type="dxa"/>
        </w:tblCellMar>
        <w:tblLook w:val="04A0" w:firstRow="1" w:lastRow="0" w:firstColumn="1" w:lastColumn="0" w:noHBand="0" w:noVBand="1"/>
      </w:tblPr>
      <w:tblGrid>
        <w:gridCol w:w="731"/>
        <w:gridCol w:w="1061"/>
        <w:gridCol w:w="5520"/>
        <w:gridCol w:w="2160"/>
      </w:tblGrid>
      <w:tr w:rsidR="000D4234" w:rsidRPr="007D7653" w:rsidTr="00CD6F78">
        <w:trPr>
          <w:trHeight w:val="259"/>
          <w:tblHeader/>
        </w:trPr>
        <w:tc>
          <w:tcPr>
            <w:tcW w:w="7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Fuente</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Cuenta/</w:t>
            </w:r>
            <w:r w:rsidRPr="007D7653">
              <w:rPr>
                <w:rFonts w:ascii="Arial" w:hAnsi="Arial" w:cs="Arial"/>
                <w:b/>
                <w:bCs/>
                <w:snapToGrid/>
                <w:color w:val="000000"/>
                <w:sz w:val="18"/>
                <w:szCs w:val="18"/>
                <w:lang w:val="es-CO" w:eastAsia="es-CO"/>
              </w:rPr>
              <w:br/>
              <w:t>Subcuenta</w:t>
            </w:r>
          </w:p>
        </w:tc>
        <w:tc>
          <w:tcPr>
            <w:tcW w:w="552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Denominación</w:t>
            </w:r>
          </w:p>
        </w:tc>
        <w:tc>
          <w:tcPr>
            <w:tcW w:w="216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Ponderación</w:t>
            </w:r>
          </w:p>
        </w:tc>
      </w:tr>
      <w:tr w:rsidR="000D4234" w:rsidRPr="007D7653" w:rsidTr="00CD6F78">
        <w:trPr>
          <w:trHeight w:val="519"/>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+620</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Valor del interés minoritario reconocido en el PA de la entidad </w:t>
            </w:r>
            <w:proofErr w:type="spellStart"/>
            <w:r w:rsidRPr="007D7653">
              <w:rPr>
                <w:rFonts w:ascii="Arial" w:hAnsi="Arial" w:cs="Arial"/>
                <w:snapToGrid/>
                <w:color w:val="000000"/>
                <w:sz w:val="18"/>
                <w:szCs w:val="18"/>
                <w:lang w:val="es-CO" w:eastAsia="es-CO"/>
              </w:rPr>
              <w:t>consolidante</w:t>
            </w:r>
            <w:proofErr w:type="spellEnd"/>
            <w:r w:rsidRPr="007D7653">
              <w:rPr>
                <w:rFonts w:ascii="Arial" w:hAnsi="Arial" w:cs="Arial"/>
                <w:snapToGrid/>
                <w:color w:val="000000"/>
                <w:sz w:val="18"/>
                <w:szCs w:val="18"/>
                <w:lang w:val="es-CO" w:eastAsia="es-CO"/>
              </w:rPr>
              <w:t xml:space="preserve"> en los términos definidos en el Capítulo XIII-13 de la CBCF.</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r w:rsidR="000D4234" w:rsidRPr="007D7653" w:rsidTr="00CD6F78">
        <w:trPr>
          <w:trHeight w:val="59"/>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+341305</w:t>
            </w:r>
          </w:p>
        </w:tc>
        <w:tc>
          <w:tcPr>
            <w:tcW w:w="5520" w:type="dxa"/>
            <w:tcBorders>
              <w:top w:val="nil"/>
              <w:left w:val="nil"/>
              <w:bottom w:val="single" w:sz="4" w:space="0" w:color="auto"/>
              <w:right w:val="single" w:sz="4" w:space="0" w:color="auto"/>
            </w:tcBorders>
            <w:shd w:val="clear" w:color="000000" w:fill="FFFFFF"/>
            <w:vAlign w:val="center"/>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Títulos de deuda</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Si 341305&gt;0, entonces pondera al 50%, de lo contrario pondera al 100%.</w:t>
            </w:r>
          </w:p>
        </w:tc>
      </w:tr>
    </w:tbl>
    <w:p w:rsidR="000D4234" w:rsidRPr="007D7653" w:rsidRDefault="000D4234" w:rsidP="000D4234">
      <w:pPr>
        <w:jc w:val="both"/>
        <w:rPr>
          <w:rFonts w:ascii="Arial" w:hAnsi="Arial" w:cs="Arial"/>
          <w:snapToGrid/>
          <w:color w:val="000000"/>
          <w:sz w:val="18"/>
          <w:szCs w:val="18"/>
          <w:highlight w:val="yellow"/>
          <w:lang w:val="es-CO" w:eastAsia="es-CO"/>
        </w:rPr>
      </w:pPr>
    </w:p>
    <w:p w:rsidR="000D4234" w:rsidRPr="007D7653" w:rsidRDefault="000D4234" w:rsidP="000D4234">
      <w:pPr>
        <w:jc w:val="both"/>
        <w:rPr>
          <w:rFonts w:ascii="Arial" w:hAnsi="Arial" w:cs="Arial"/>
          <w:snapToGrid/>
          <w:color w:val="000000"/>
          <w:sz w:val="18"/>
          <w:szCs w:val="18"/>
          <w:highlight w:val="yellow"/>
          <w:lang w:val="es-CO" w:eastAsia="es-CO"/>
        </w:rPr>
      </w:pPr>
    </w:p>
    <w:p w:rsidR="000D4234" w:rsidRPr="007D7653" w:rsidRDefault="000D4234" w:rsidP="000D4234">
      <w:pPr>
        <w:jc w:val="both"/>
        <w:rPr>
          <w:rFonts w:ascii="Arial" w:hAnsi="Arial" w:cs="Arial"/>
          <w:snapToGrid/>
          <w:color w:val="000000"/>
          <w:sz w:val="18"/>
          <w:szCs w:val="18"/>
          <w:highlight w:val="yellow"/>
          <w:lang w:val="es-CO" w:eastAsia="es-CO"/>
        </w:rPr>
      </w:pPr>
    </w:p>
    <w:p w:rsidR="000D4234" w:rsidRPr="007D7653" w:rsidRDefault="000D4234" w:rsidP="000D4234">
      <w:pPr>
        <w:jc w:val="both"/>
        <w:rPr>
          <w:rFonts w:ascii="Arial" w:hAnsi="Arial" w:cs="Arial"/>
          <w:snapToGrid/>
          <w:color w:val="000000"/>
          <w:sz w:val="18"/>
          <w:szCs w:val="18"/>
          <w:highlight w:val="yellow"/>
          <w:lang w:val="es-CO" w:eastAsia="es-CO"/>
        </w:rPr>
      </w:pPr>
    </w:p>
    <w:p w:rsidR="000D4234" w:rsidRPr="007D7653" w:rsidRDefault="000D4234" w:rsidP="000D4234">
      <w:pPr>
        <w:jc w:val="both"/>
        <w:rPr>
          <w:rFonts w:ascii="Arial" w:hAnsi="Arial" w:cs="Arial"/>
          <w:snapToGrid/>
          <w:color w:val="000000"/>
          <w:sz w:val="18"/>
          <w:szCs w:val="18"/>
          <w:highlight w:val="yellow"/>
          <w:lang w:val="es-CO" w:eastAsia="es-CO"/>
        </w:rPr>
      </w:pPr>
    </w:p>
    <w:p w:rsidR="000D4234" w:rsidRPr="007D7653" w:rsidRDefault="000D4234" w:rsidP="000D4234">
      <w:pPr>
        <w:jc w:val="both"/>
        <w:rPr>
          <w:rFonts w:ascii="Arial" w:hAnsi="Arial" w:cs="Arial"/>
          <w:snapToGrid/>
          <w:color w:val="000000"/>
          <w:sz w:val="18"/>
          <w:szCs w:val="18"/>
          <w:highlight w:val="yellow"/>
          <w:lang w:val="es-CO" w:eastAsia="es-CO"/>
        </w:rPr>
      </w:pPr>
    </w:p>
    <w:p w:rsidR="000D4234" w:rsidRPr="007D7653" w:rsidRDefault="000D4234" w:rsidP="000D4234">
      <w:pPr>
        <w:jc w:val="both"/>
        <w:rPr>
          <w:rFonts w:ascii="Arial" w:hAnsi="Arial" w:cs="Arial"/>
          <w:snapToGrid/>
          <w:color w:val="000000"/>
          <w:sz w:val="18"/>
          <w:szCs w:val="18"/>
          <w:highlight w:val="yellow"/>
          <w:lang w:val="es-CO" w:eastAsia="es-CO"/>
        </w:rPr>
      </w:pPr>
    </w:p>
    <w:p w:rsidR="000D4234" w:rsidRPr="007D7653" w:rsidRDefault="000D4234" w:rsidP="000D4234">
      <w:pPr>
        <w:jc w:val="both"/>
        <w:rPr>
          <w:rFonts w:ascii="Arial" w:hAnsi="Arial" w:cs="Arial"/>
          <w:snapToGrid/>
          <w:color w:val="000000"/>
          <w:sz w:val="18"/>
          <w:szCs w:val="18"/>
          <w:highlight w:val="yellow"/>
          <w:lang w:val="es-CO" w:eastAsia="es-CO"/>
        </w:rPr>
      </w:pPr>
    </w:p>
    <w:p w:rsidR="000D4234" w:rsidRPr="007D7653" w:rsidRDefault="000D4234" w:rsidP="000D4234">
      <w:pPr>
        <w:jc w:val="both"/>
        <w:rPr>
          <w:rFonts w:ascii="Arial" w:hAnsi="Arial" w:cs="Arial"/>
          <w:snapToGrid/>
          <w:color w:val="000000"/>
          <w:sz w:val="18"/>
          <w:szCs w:val="18"/>
          <w:highlight w:val="yellow"/>
          <w:lang w:val="es-CO" w:eastAsia="es-CO"/>
        </w:rPr>
      </w:pPr>
    </w:p>
    <w:p w:rsidR="000D4234" w:rsidRPr="007D7653" w:rsidRDefault="000D4234" w:rsidP="000D4234">
      <w:pPr>
        <w:jc w:val="both"/>
        <w:rPr>
          <w:rFonts w:ascii="Arial" w:hAnsi="Arial" w:cs="Arial"/>
          <w:snapToGrid/>
          <w:color w:val="000000"/>
          <w:sz w:val="18"/>
          <w:szCs w:val="18"/>
          <w:highlight w:val="yellow"/>
          <w:lang w:val="es-CO" w:eastAsia="es-CO"/>
        </w:rPr>
      </w:pPr>
    </w:p>
    <w:p w:rsidR="000D4234" w:rsidRPr="000D4234" w:rsidRDefault="000D4234">
      <w:pPr>
        <w:rPr>
          <w:lang w:val="es-CO"/>
        </w:rPr>
        <w:sectPr w:rsidR="000D4234" w:rsidRPr="000D4234" w:rsidSect="000D4234">
          <w:headerReference w:type="default" r:id="rId18"/>
          <w:footerReference w:type="default" r:id="rId19"/>
          <w:pgSz w:w="12240" w:h="18720" w:code="14"/>
          <w:pgMar w:top="1148" w:right="1134" w:bottom="1701" w:left="1701" w:header="567" w:footer="567" w:gutter="0"/>
          <w:paperSrc w:first="15"/>
          <w:pgNumType w:start="61"/>
          <w:cols w:space="720"/>
          <w:noEndnote/>
          <w:docGrid w:linePitch="272"/>
        </w:sectPr>
      </w:pPr>
    </w:p>
    <w:tbl>
      <w:tblPr>
        <w:tblW w:w="9472" w:type="dxa"/>
        <w:tblInd w:w="65" w:type="dxa"/>
        <w:tblCellMar>
          <w:left w:w="70" w:type="dxa"/>
          <w:right w:w="70" w:type="dxa"/>
        </w:tblCellMar>
        <w:tblLook w:val="04A0" w:firstRow="1" w:lastRow="0" w:firstColumn="1" w:lastColumn="0" w:noHBand="0" w:noVBand="1"/>
      </w:tblPr>
      <w:tblGrid>
        <w:gridCol w:w="731"/>
        <w:gridCol w:w="1061"/>
        <w:gridCol w:w="5520"/>
        <w:gridCol w:w="2160"/>
      </w:tblGrid>
      <w:tr w:rsidR="000D4234" w:rsidRPr="00700E68" w:rsidTr="00CD6F78">
        <w:trPr>
          <w:trHeight w:val="259"/>
          <w:tblHeader/>
        </w:trPr>
        <w:tc>
          <w:tcPr>
            <w:tcW w:w="7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D4234" w:rsidRPr="00700E68" w:rsidRDefault="000D4234" w:rsidP="00CD6F78">
            <w:pPr>
              <w:jc w:val="center"/>
              <w:rPr>
                <w:rFonts w:ascii="Arial" w:hAnsi="Arial" w:cs="Arial"/>
                <w:b/>
                <w:bCs/>
                <w:snapToGrid/>
                <w:color w:val="000000"/>
                <w:sz w:val="18"/>
                <w:szCs w:val="18"/>
                <w:lang w:val="es-CO" w:eastAsia="es-CO"/>
              </w:rPr>
            </w:pPr>
            <w:r w:rsidRPr="00700E68">
              <w:rPr>
                <w:rFonts w:ascii="Arial" w:hAnsi="Arial" w:cs="Arial"/>
                <w:b/>
                <w:bCs/>
                <w:snapToGrid/>
                <w:color w:val="000000"/>
                <w:sz w:val="18"/>
                <w:szCs w:val="18"/>
                <w:lang w:val="es-CO" w:eastAsia="es-CO"/>
              </w:rPr>
              <w:lastRenderedPageBreak/>
              <w:t>Fuente</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rsidR="000D4234" w:rsidRPr="00700E68" w:rsidRDefault="000D4234" w:rsidP="00CD6F78">
            <w:pPr>
              <w:jc w:val="center"/>
              <w:rPr>
                <w:rFonts w:ascii="Arial" w:hAnsi="Arial" w:cs="Arial"/>
                <w:b/>
                <w:bCs/>
                <w:snapToGrid/>
                <w:color w:val="000000"/>
                <w:sz w:val="18"/>
                <w:szCs w:val="18"/>
                <w:lang w:val="es-CO" w:eastAsia="es-CO"/>
              </w:rPr>
            </w:pPr>
            <w:r w:rsidRPr="00700E68">
              <w:rPr>
                <w:rFonts w:ascii="Arial" w:hAnsi="Arial" w:cs="Arial"/>
                <w:b/>
                <w:bCs/>
                <w:snapToGrid/>
                <w:color w:val="000000"/>
                <w:sz w:val="18"/>
                <w:szCs w:val="18"/>
                <w:lang w:val="es-CO" w:eastAsia="es-CO"/>
              </w:rPr>
              <w:t>Cuenta/</w:t>
            </w:r>
            <w:r w:rsidRPr="00700E68">
              <w:rPr>
                <w:rFonts w:ascii="Arial" w:hAnsi="Arial" w:cs="Arial"/>
                <w:b/>
                <w:bCs/>
                <w:snapToGrid/>
                <w:color w:val="000000"/>
                <w:sz w:val="18"/>
                <w:szCs w:val="18"/>
                <w:lang w:val="es-CO" w:eastAsia="es-CO"/>
              </w:rPr>
              <w:br/>
              <w:t>Subcuenta</w:t>
            </w:r>
          </w:p>
        </w:tc>
        <w:tc>
          <w:tcPr>
            <w:tcW w:w="552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00E68" w:rsidRDefault="000D4234" w:rsidP="00CD6F78">
            <w:pPr>
              <w:jc w:val="center"/>
              <w:rPr>
                <w:rFonts w:ascii="Arial" w:hAnsi="Arial" w:cs="Arial"/>
                <w:b/>
                <w:bCs/>
                <w:snapToGrid/>
                <w:color w:val="000000"/>
                <w:sz w:val="18"/>
                <w:szCs w:val="18"/>
                <w:lang w:val="es-CO" w:eastAsia="es-CO"/>
              </w:rPr>
            </w:pPr>
            <w:r w:rsidRPr="00700E68">
              <w:rPr>
                <w:rFonts w:ascii="Arial" w:hAnsi="Arial" w:cs="Arial"/>
                <w:b/>
                <w:bCs/>
                <w:snapToGrid/>
                <w:color w:val="000000"/>
                <w:sz w:val="18"/>
                <w:szCs w:val="18"/>
                <w:lang w:val="es-CO" w:eastAsia="es-CO"/>
              </w:rPr>
              <w:t>Denominación</w:t>
            </w:r>
          </w:p>
        </w:tc>
        <w:tc>
          <w:tcPr>
            <w:tcW w:w="216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00E68" w:rsidRDefault="000D4234" w:rsidP="00CD6F78">
            <w:pPr>
              <w:jc w:val="center"/>
              <w:rPr>
                <w:rFonts w:ascii="Arial" w:hAnsi="Arial" w:cs="Arial"/>
                <w:b/>
                <w:bCs/>
                <w:snapToGrid/>
                <w:color w:val="000000"/>
                <w:sz w:val="18"/>
                <w:szCs w:val="18"/>
                <w:lang w:val="es-CO" w:eastAsia="es-CO"/>
              </w:rPr>
            </w:pPr>
            <w:r w:rsidRPr="00700E68">
              <w:rPr>
                <w:rFonts w:ascii="Arial" w:hAnsi="Arial" w:cs="Arial"/>
                <w:b/>
                <w:bCs/>
                <w:snapToGrid/>
                <w:color w:val="000000"/>
                <w:sz w:val="18"/>
                <w:szCs w:val="18"/>
                <w:lang w:val="es-CO" w:eastAsia="es-CO"/>
              </w:rPr>
              <w:t>Ponderación</w:t>
            </w:r>
          </w:p>
        </w:tc>
      </w:tr>
      <w:tr w:rsidR="004D2C71" w:rsidRPr="00700E68" w:rsidTr="00532447">
        <w:trPr>
          <w:trHeight w:val="696"/>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532447" w:rsidRPr="00700E68" w:rsidRDefault="00532447" w:rsidP="005F69B9">
            <w:pPr>
              <w:rPr>
                <w:rFonts w:ascii="Arial" w:hAnsi="Arial" w:cs="Arial"/>
                <w:snapToGrid/>
                <w:color w:val="000000"/>
                <w:sz w:val="18"/>
                <w:szCs w:val="18"/>
                <w:lang w:val="es-CO" w:eastAsia="es-CO"/>
              </w:rPr>
            </w:pPr>
            <w:r w:rsidRPr="00700E68">
              <w:rPr>
                <w:rFonts w:ascii="Arial" w:hAnsi="Arial" w:cs="Arial"/>
                <w:noProof/>
                <w:snapToGrid/>
                <w:sz w:val="18"/>
                <w:szCs w:val="18"/>
                <w:lang w:val="es-CO" w:eastAsia="es-CO"/>
              </w:rPr>
              <mc:AlternateContent>
                <mc:Choice Requires="wps">
                  <w:drawing>
                    <wp:anchor distT="0" distB="0" distL="114300" distR="114300" simplePos="0" relativeHeight="251726848" behindDoc="0" locked="0" layoutInCell="1" allowOverlap="1" wp14:anchorId="0807AABC" wp14:editId="292D9C4E">
                      <wp:simplePos x="0" y="0"/>
                      <wp:positionH relativeFrom="column">
                        <wp:posOffset>-111760</wp:posOffset>
                      </wp:positionH>
                      <wp:positionV relativeFrom="paragraph">
                        <wp:posOffset>-292735</wp:posOffset>
                      </wp:positionV>
                      <wp:extent cx="635" cy="9715500"/>
                      <wp:effectExtent l="0" t="0" r="37465" b="19050"/>
                      <wp:wrapNone/>
                      <wp:docPr id="1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71550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8.8pt;margin-top:-23.05pt;width:.05pt;height:7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" strokecolor="black [3213]"/>
                  </w:pict>
                </mc:Fallback>
              </mc:AlternateContent>
            </w:r>
            <w:r w:rsidR="00FD60E6" w:rsidRPr="00700E68">
              <w:rPr>
                <w:rFonts w:ascii="Arial" w:hAnsi="Arial" w:cs="Arial"/>
                <w:snapToGrid/>
                <w:color w:val="000000"/>
                <w:sz w:val="18"/>
                <w:szCs w:val="18"/>
                <w:lang w:val="es-CO" w:eastAsia="es-CO"/>
              </w:rPr>
              <w:t xml:space="preserve">  </w:t>
            </w:r>
          </w:p>
          <w:p w:rsidR="004D2C71" w:rsidRPr="00700E68" w:rsidRDefault="004D2C71" w:rsidP="00532447">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hideMark/>
          </w:tcPr>
          <w:p w:rsidR="004D2C71" w:rsidRPr="00700E68" w:rsidRDefault="004D2C71"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+341310</w:t>
            </w:r>
          </w:p>
        </w:tc>
        <w:tc>
          <w:tcPr>
            <w:tcW w:w="5520" w:type="dxa"/>
            <w:tcBorders>
              <w:top w:val="nil"/>
              <w:left w:val="nil"/>
              <w:bottom w:val="single" w:sz="4" w:space="0" w:color="auto"/>
              <w:right w:val="single" w:sz="4" w:space="0" w:color="auto"/>
            </w:tcBorders>
            <w:shd w:val="clear" w:color="000000" w:fill="FFFFFF"/>
            <w:vAlign w:val="center"/>
            <w:hideMark/>
          </w:tcPr>
          <w:p w:rsidR="004D2C71" w:rsidRPr="00700E68" w:rsidRDefault="004D2C71" w:rsidP="00FD52A1">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Títulos participativos de alta o media bursatilidad</w:t>
            </w:r>
          </w:p>
        </w:tc>
        <w:tc>
          <w:tcPr>
            <w:tcW w:w="2160" w:type="dxa"/>
            <w:tcBorders>
              <w:top w:val="nil"/>
              <w:left w:val="nil"/>
              <w:bottom w:val="single" w:sz="4" w:space="0" w:color="auto"/>
              <w:right w:val="single" w:sz="4" w:space="0" w:color="auto"/>
            </w:tcBorders>
            <w:shd w:val="clear" w:color="000000" w:fill="FFFFFF"/>
            <w:noWrap/>
            <w:vAlign w:val="center"/>
            <w:hideMark/>
          </w:tcPr>
          <w:p w:rsidR="004D2C71" w:rsidRPr="00700E68" w:rsidRDefault="004D2C71" w:rsidP="00FD52A1">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Si 341310&gt;0, entonces pondera al 50%, de lo contrario pondera al 100%</w:t>
            </w:r>
          </w:p>
        </w:tc>
      </w:tr>
      <w:tr w:rsidR="004D2C71" w:rsidRPr="00700E68" w:rsidTr="004D2C71">
        <w:trPr>
          <w:trHeight w:val="72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4D2C71" w:rsidRPr="00700E68" w:rsidRDefault="004D2C71"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4D2C71" w:rsidRPr="00700E68" w:rsidRDefault="004D2C71"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-665</w:t>
            </w:r>
          </w:p>
        </w:tc>
        <w:tc>
          <w:tcPr>
            <w:tcW w:w="5520" w:type="dxa"/>
            <w:tcBorders>
              <w:top w:val="nil"/>
              <w:left w:val="nil"/>
              <w:bottom w:val="single" w:sz="4" w:space="0" w:color="auto"/>
              <w:right w:val="single" w:sz="4" w:space="0" w:color="auto"/>
            </w:tcBorders>
            <w:shd w:val="clear" w:color="000000" w:fill="FFFFFF"/>
            <w:hideMark/>
          </w:tcPr>
          <w:p w:rsidR="004D2C71" w:rsidRPr="00700E68" w:rsidRDefault="008C608A" w:rsidP="00FD52A1">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Ganancias no realizadas en las inversiones de las que trata la subcuenta 082 que estén clasificadas como disponibles para la venta en títulos de deuda y títulos participativos con alta o media bursatilidad.</w:t>
            </w:r>
          </w:p>
        </w:tc>
        <w:tc>
          <w:tcPr>
            <w:tcW w:w="2160" w:type="dxa"/>
            <w:tcBorders>
              <w:top w:val="nil"/>
              <w:left w:val="nil"/>
              <w:bottom w:val="single" w:sz="4" w:space="0" w:color="auto"/>
              <w:right w:val="single" w:sz="4" w:space="0" w:color="auto"/>
            </w:tcBorders>
            <w:shd w:val="clear" w:color="000000" w:fill="FFFFFF"/>
            <w:noWrap/>
            <w:vAlign w:val="center"/>
            <w:hideMark/>
          </w:tcPr>
          <w:p w:rsidR="004D2C71" w:rsidRPr="00700E68" w:rsidRDefault="004D2C71"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50%</w:t>
            </w:r>
          </w:p>
        </w:tc>
      </w:tr>
      <w:tr w:rsidR="008F7620" w:rsidRPr="00700E68" w:rsidTr="004D2C71">
        <w:trPr>
          <w:trHeight w:val="72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8F7620" w:rsidRPr="00700E68" w:rsidRDefault="008F7620"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8F7620" w:rsidRPr="00700E68" w:rsidRDefault="008F7620"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-666</w:t>
            </w:r>
          </w:p>
        </w:tc>
        <w:tc>
          <w:tcPr>
            <w:tcW w:w="5520" w:type="dxa"/>
            <w:tcBorders>
              <w:top w:val="nil"/>
              <w:left w:val="nil"/>
              <w:bottom w:val="single" w:sz="4" w:space="0" w:color="auto"/>
              <w:right w:val="single" w:sz="4" w:space="0" w:color="auto"/>
            </w:tcBorders>
            <w:shd w:val="clear" w:color="000000" w:fill="FFFFFF"/>
            <w:hideMark/>
          </w:tcPr>
          <w:p w:rsidR="008F7620" w:rsidRPr="00700E68" w:rsidRDefault="008C608A" w:rsidP="00E60A23">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Ganancias no realizadas en las inversiones de las que trata la subcuenta 650 que estén clasificadas como disponibles para la venta en títulos de deuda y títulos participativos con alta o media bursatilidad.</w:t>
            </w:r>
          </w:p>
        </w:tc>
        <w:tc>
          <w:tcPr>
            <w:tcW w:w="2160" w:type="dxa"/>
            <w:tcBorders>
              <w:top w:val="nil"/>
              <w:left w:val="nil"/>
              <w:bottom w:val="single" w:sz="4" w:space="0" w:color="auto"/>
              <w:right w:val="single" w:sz="4" w:space="0" w:color="auto"/>
            </w:tcBorders>
            <w:shd w:val="clear" w:color="000000" w:fill="FFFFFF"/>
            <w:noWrap/>
            <w:vAlign w:val="center"/>
            <w:hideMark/>
          </w:tcPr>
          <w:p w:rsidR="008F7620" w:rsidRPr="00700E68" w:rsidRDefault="008F7620"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50%</w:t>
            </w:r>
          </w:p>
        </w:tc>
      </w:tr>
      <w:tr w:rsidR="00E843F3" w:rsidRPr="00700E68" w:rsidTr="004D2C71">
        <w:trPr>
          <w:trHeight w:val="72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E843F3" w:rsidRPr="00700E68" w:rsidRDefault="00E843F3"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E843F3" w:rsidRPr="00700E68" w:rsidRDefault="00E843F3"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+670</w:t>
            </w:r>
          </w:p>
        </w:tc>
        <w:tc>
          <w:tcPr>
            <w:tcW w:w="5520" w:type="dxa"/>
            <w:tcBorders>
              <w:top w:val="nil"/>
              <w:left w:val="nil"/>
              <w:bottom w:val="single" w:sz="4" w:space="0" w:color="auto"/>
              <w:right w:val="single" w:sz="4" w:space="0" w:color="auto"/>
            </w:tcBorders>
            <w:shd w:val="clear" w:color="000000" w:fill="FFFFFF"/>
            <w:hideMark/>
          </w:tcPr>
          <w:p w:rsidR="00E843F3" w:rsidRPr="00700E68" w:rsidRDefault="008C608A" w:rsidP="00E60A23">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Ganancias no realizadas en las inversiones de las que trata la subcuenta 655 que estén clasificadas como disponibles para la venta en títulos de deuda y títulos participativos con alta o media bursatilidad.</w:t>
            </w:r>
          </w:p>
        </w:tc>
        <w:tc>
          <w:tcPr>
            <w:tcW w:w="2160" w:type="dxa"/>
            <w:tcBorders>
              <w:top w:val="nil"/>
              <w:left w:val="nil"/>
              <w:bottom w:val="single" w:sz="4" w:space="0" w:color="auto"/>
              <w:right w:val="single" w:sz="4" w:space="0" w:color="auto"/>
            </w:tcBorders>
            <w:shd w:val="clear" w:color="000000" w:fill="FFFFFF"/>
            <w:noWrap/>
            <w:vAlign w:val="center"/>
            <w:hideMark/>
          </w:tcPr>
          <w:p w:rsidR="00E843F3" w:rsidRPr="00700E68" w:rsidRDefault="00E843F3"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50%</w:t>
            </w:r>
          </w:p>
        </w:tc>
      </w:tr>
      <w:tr w:rsidR="00E843F3" w:rsidRPr="00700E68" w:rsidTr="004D2C71">
        <w:trPr>
          <w:trHeight w:val="72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E843F3" w:rsidRPr="00700E68" w:rsidRDefault="00E843F3"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E843F3" w:rsidRPr="00700E68" w:rsidRDefault="00E843F3"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+685</w:t>
            </w:r>
          </w:p>
        </w:tc>
        <w:tc>
          <w:tcPr>
            <w:tcW w:w="5520" w:type="dxa"/>
            <w:tcBorders>
              <w:top w:val="nil"/>
              <w:left w:val="nil"/>
              <w:bottom w:val="single" w:sz="4" w:space="0" w:color="auto"/>
              <w:right w:val="single" w:sz="4" w:space="0" w:color="auto"/>
            </w:tcBorders>
            <w:shd w:val="clear" w:color="000000" w:fill="FFFFFF"/>
            <w:hideMark/>
          </w:tcPr>
          <w:p w:rsidR="00E843F3" w:rsidRPr="00700E68" w:rsidRDefault="008C608A" w:rsidP="00FD52A1">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Pérdidas no realizadas en las inversiones de las que trata la subcuenta 082 que estén clasificadas como disponibles para la venta en títulos de deuda y títulos participativos con alta o media bursatilidad.</w:t>
            </w:r>
          </w:p>
        </w:tc>
        <w:tc>
          <w:tcPr>
            <w:tcW w:w="2160" w:type="dxa"/>
            <w:tcBorders>
              <w:top w:val="nil"/>
              <w:left w:val="nil"/>
              <w:bottom w:val="single" w:sz="4" w:space="0" w:color="auto"/>
              <w:right w:val="single" w:sz="4" w:space="0" w:color="auto"/>
            </w:tcBorders>
            <w:shd w:val="clear" w:color="000000" w:fill="FFFFFF"/>
            <w:noWrap/>
            <w:vAlign w:val="center"/>
            <w:hideMark/>
          </w:tcPr>
          <w:p w:rsidR="00E843F3" w:rsidRPr="00700E68" w:rsidRDefault="00E843F3"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100%</w:t>
            </w:r>
          </w:p>
        </w:tc>
      </w:tr>
      <w:tr w:rsidR="00E843F3" w:rsidRPr="00700E68" w:rsidTr="004D2C71">
        <w:trPr>
          <w:trHeight w:val="72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FD60E6" w:rsidRPr="00700E68" w:rsidRDefault="00FD60E6" w:rsidP="00FD60E6">
            <w:pPr>
              <w:jc w:val="center"/>
              <w:rPr>
                <w:rFonts w:ascii="Arial" w:hAnsi="Arial" w:cs="Arial"/>
                <w:snapToGrid/>
                <w:color w:val="000000"/>
                <w:sz w:val="18"/>
                <w:szCs w:val="18"/>
                <w:lang w:val="es-CO" w:eastAsia="es-CO"/>
              </w:rPr>
            </w:pPr>
          </w:p>
          <w:p w:rsidR="00E843F3" w:rsidRPr="00700E68" w:rsidRDefault="00E843F3" w:rsidP="00FD60E6">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E843F3" w:rsidRPr="00700E68" w:rsidRDefault="00E843F3"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+686</w:t>
            </w:r>
          </w:p>
        </w:tc>
        <w:tc>
          <w:tcPr>
            <w:tcW w:w="5520" w:type="dxa"/>
            <w:tcBorders>
              <w:top w:val="nil"/>
              <w:left w:val="nil"/>
              <w:bottom w:val="single" w:sz="4" w:space="0" w:color="auto"/>
              <w:right w:val="single" w:sz="4" w:space="0" w:color="auto"/>
            </w:tcBorders>
            <w:shd w:val="clear" w:color="000000" w:fill="FFFFFF"/>
            <w:hideMark/>
          </w:tcPr>
          <w:p w:rsidR="00E843F3" w:rsidRPr="00700E68" w:rsidRDefault="008C608A" w:rsidP="00FD52A1">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Pérdidas no realizadas en las inversiones de las que trata la subcuenta 650 que estén clasificadas como disponibles para la venta en títulos de deuda y títulos participativos con alta o media bursatilidad.</w:t>
            </w:r>
          </w:p>
        </w:tc>
        <w:tc>
          <w:tcPr>
            <w:tcW w:w="2160" w:type="dxa"/>
            <w:tcBorders>
              <w:top w:val="nil"/>
              <w:left w:val="nil"/>
              <w:bottom w:val="single" w:sz="4" w:space="0" w:color="auto"/>
              <w:right w:val="single" w:sz="4" w:space="0" w:color="auto"/>
            </w:tcBorders>
            <w:shd w:val="clear" w:color="000000" w:fill="FFFFFF"/>
            <w:noWrap/>
            <w:vAlign w:val="center"/>
            <w:hideMark/>
          </w:tcPr>
          <w:p w:rsidR="00E843F3" w:rsidRPr="00700E68" w:rsidRDefault="00E843F3"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100%</w:t>
            </w:r>
          </w:p>
        </w:tc>
      </w:tr>
      <w:tr w:rsidR="00E843F3" w:rsidRPr="00700E68" w:rsidTr="00776D27">
        <w:trPr>
          <w:trHeight w:val="85"/>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E843F3" w:rsidRPr="00700E68" w:rsidRDefault="00E843F3"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E843F3" w:rsidRPr="00700E68" w:rsidRDefault="00E843F3"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-690</w:t>
            </w:r>
          </w:p>
        </w:tc>
        <w:tc>
          <w:tcPr>
            <w:tcW w:w="5520" w:type="dxa"/>
            <w:tcBorders>
              <w:top w:val="nil"/>
              <w:left w:val="nil"/>
              <w:bottom w:val="single" w:sz="4" w:space="0" w:color="auto"/>
              <w:right w:val="single" w:sz="4" w:space="0" w:color="auto"/>
            </w:tcBorders>
            <w:shd w:val="clear" w:color="000000" w:fill="FFFFFF"/>
            <w:hideMark/>
          </w:tcPr>
          <w:p w:rsidR="00E843F3" w:rsidRPr="00700E68" w:rsidRDefault="004C7645" w:rsidP="00E843F3">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Pérdidas no realizadas en las inversiones de las que trata la subcuenta 655 que estén clasificadas como disponibles para la venta en títulos de deuda y títulos participativos con alta o media bursatilidad.</w:t>
            </w:r>
          </w:p>
        </w:tc>
        <w:tc>
          <w:tcPr>
            <w:tcW w:w="2160" w:type="dxa"/>
            <w:tcBorders>
              <w:top w:val="nil"/>
              <w:left w:val="nil"/>
              <w:bottom w:val="single" w:sz="4" w:space="0" w:color="auto"/>
              <w:right w:val="single" w:sz="4" w:space="0" w:color="auto"/>
            </w:tcBorders>
            <w:shd w:val="clear" w:color="000000" w:fill="FFFFFF"/>
            <w:noWrap/>
            <w:vAlign w:val="center"/>
            <w:hideMark/>
          </w:tcPr>
          <w:p w:rsidR="00E843F3" w:rsidRPr="00700E68" w:rsidRDefault="00E843F3"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100%</w:t>
            </w:r>
          </w:p>
        </w:tc>
      </w:tr>
      <w:tr w:rsidR="00E843F3" w:rsidRPr="00700E68" w:rsidTr="004D2C71">
        <w:trPr>
          <w:trHeight w:val="365"/>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E843F3" w:rsidRPr="00700E68" w:rsidRDefault="00E843F3"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hideMark/>
          </w:tcPr>
          <w:p w:rsidR="00E843F3" w:rsidRPr="00700E68" w:rsidRDefault="00E843F3"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+341550</w:t>
            </w:r>
          </w:p>
        </w:tc>
        <w:tc>
          <w:tcPr>
            <w:tcW w:w="5520" w:type="dxa"/>
            <w:tcBorders>
              <w:top w:val="nil"/>
              <w:left w:val="nil"/>
              <w:bottom w:val="single" w:sz="4" w:space="0" w:color="auto"/>
              <w:right w:val="single" w:sz="4" w:space="0" w:color="auto"/>
            </w:tcBorders>
            <w:shd w:val="clear" w:color="000000" w:fill="FFFFFF"/>
            <w:hideMark/>
          </w:tcPr>
          <w:p w:rsidR="00E843F3" w:rsidRPr="00700E68" w:rsidRDefault="00E843F3" w:rsidP="00FD52A1">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Inversiones disponibles para la venta en títulos participativos de baja o mínima bursatilidad o sin cotización en bolsa</w:t>
            </w:r>
          </w:p>
        </w:tc>
        <w:tc>
          <w:tcPr>
            <w:tcW w:w="2160" w:type="dxa"/>
            <w:tcBorders>
              <w:top w:val="nil"/>
              <w:left w:val="nil"/>
              <w:bottom w:val="single" w:sz="4" w:space="0" w:color="auto"/>
              <w:right w:val="single" w:sz="4" w:space="0" w:color="auto"/>
            </w:tcBorders>
            <w:shd w:val="clear" w:color="000000" w:fill="FFFFFF"/>
            <w:noWrap/>
            <w:vAlign w:val="center"/>
            <w:hideMark/>
          </w:tcPr>
          <w:p w:rsidR="00E843F3" w:rsidRPr="00700E68" w:rsidRDefault="00E843F3"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30%</w:t>
            </w:r>
          </w:p>
        </w:tc>
      </w:tr>
      <w:tr w:rsidR="00E843F3" w:rsidRPr="00700E68" w:rsidTr="004D2C71">
        <w:trPr>
          <w:trHeight w:val="72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E843F3" w:rsidRPr="00700E68" w:rsidRDefault="00E843F3" w:rsidP="006B2B2C">
            <w:pP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E843F3" w:rsidRPr="00700E68" w:rsidRDefault="00E843F3"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-675</w:t>
            </w:r>
          </w:p>
        </w:tc>
        <w:tc>
          <w:tcPr>
            <w:tcW w:w="5520" w:type="dxa"/>
            <w:tcBorders>
              <w:top w:val="nil"/>
              <w:left w:val="nil"/>
              <w:bottom w:val="single" w:sz="4" w:space="0" w:color="auto"/>
              <w:right w:val="single" w:sz="4" w:space="0" w:color="auto"/>
            </w:tcBorders>
            <w:shd w:val="clear" w:color="000000" w:fill="FFFFFF"/>
            <w:hideMark/>
          </w:tcPr>
          <w:p w:rsidR="00E843F3" w:rsidRPr="00700E68" w:rsidRDefault="008C608A" w:rsidP="00FD52A1">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Valorizaciones en  las inversiones de las que trata la subcuenta 082 que estén clasificadas como disponibles para la venta en títulos participativos de baja, mínima o ninguna bursatilidad, y aquellos no listados en bolsa.</w:t>
            </w:r>
          </w:p>
        </w:tc>
        <w:tc>
          <w:tcPr>
            <w:tcW w:w="2160" w:type="dxa"/>
            <w:tcBorders>
              <w:top w:val="nil"/>
              <w:left w:val="nil"/>
              <w:bottom w:val="single" w:sz="4" w:space="0" w:color="auto"/>
              <w:right w:val="single" w:sz="4" w:space="0" w:color="auto"/>
            </w:tcBorders>
            <w:shd w:val="clear" w:color="000000" w:fill="FFFFFF"/>
            <w:noWrap/>
            <w:vAlign w:val="center"/>
            <w:hideMark/>
          </w:tcPr>
          <w:p w:rsidR="00E843F3" w:rsidRPr="00700E68" w:rsidRDefault="00E843F3"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30%</w:t>
            </w:r>
          </w:p>
        </w:tc>
      </w:tr>
      <w:tr w:rsidR="008E5246" w:rsidRPr="00700E68" w:rsidTr="004D2C71">
        <w:trPr>
          <w:trHeight w:val="72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8E5246" w:rsidRPr="00700E68" w:rsidRDefault="008E5246"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8E5246" w:rsidRPr="00700E68" w:rsidRDefault="008E5246"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-676</w:t>
            </w:r>
          </w:p>
        </w:tc>
        <w:tc>
          <w:tcPr>
            <w:tcW w:w="5520" w:type="dxa"/>
            <w:tcBorders>
              <w:top w:val="nil"/>
              <w:left w:val="nil"/>
              <w:bottom w:val="single" w:sz="4" w:space="0" w:color="auto"/>
              <w:right w:val="single" w:sz="4" w:space="0" w:color="auto"/>
            </w:tcBorders>
            <w:shd w:val="clear" w:color="000000" w:fill="FFFFFF"/>
            <w:hideMark/>
          </w:tcPr>
          <w:p w:rsidR="008E5246" w:rsidRPr="00700E68" w:rsidRDefault="004B7C29" w:rsidP="00FD52A1">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Valorizaciones en  las inversiones de las que trata la subcuenta 650 que estén clasificadas como disponibles para la venta en títulos participativos de baja, mínima o ninguna bursatilidad, y aquellos no listados en bolsa.</w:t>
            </w:r>
          </w:p>
        </w:tc>
        <w:tc>
          <w:tcPr>
            <w:tcW w:w="2160" w:type="dxa"/>
            <w:tcBorders>
              <w:top w:val="nil"/>
              <w:left w:val="nil"/>
              <w:bottom w:val="single" w:sz="4" w:space="0" w:color="auto"/>
              <w:right w:val="single" w:sz="4" w:space="0" w:color="auto"/>
            </w:tcBorders>
            <w:shd w:val="clear" w:color="000000" w:fill="FFFFFF"/>
            <w:noWrap/>
            <w:vAlign w:val="center"/>
            <w:hideMark/>
          </w:tcPr>
          <w:p w:rsidR="008E5246" w:rsidRPr="00700E68" w:rsidRDefault="008E5246"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30%</w:t>
            </w:r>
          </w:p>
        </w:tc>
      </w:tr>
      <w:tr w:rsidR="008E5246" w:rsidRPr="00700E68" w:rsidTr="004D2C71">
        <w:trPr>
          <w:trHeight w:val="72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8E5246" w:rsidRPr="00700E68" w:rsidRDefault="008E5246"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8E5246" w:rsidRPr="00700E68" w:rsidRDefault="008E5246"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+680</w:t>
            </w:r>
          </w:p>
        </w:tc>
        <w:tc>
          <w:tcPr>
            <w:tcW w:w="5520" w:type="dxa"/>
            <w:tcBorders>
              <w:top w:val="nil"/>
              <w:left w:val="nil"/>
              <w:bottom w:val="single" w:sz="4" w:space="0" w:color="auto"/>
              <w:right w:val="single" w:sz="4" w:space="0" w:color="auto"/>
            </w:tcBorders>
            <w:shd w:val="clear" w:color="000000" w:fill="FFFFFF"/>
            <w:hideMark/>
          </w:tcPr>
          <w:p w:rsidR="008E5246" w:rsidRPr="00700E68" w:rsidRDefault="008C608A" w:rsidP="00E60A23">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Valorizaciones en  las inversiones de las que trata la subcuenta 655 que estén clasificadas como disponibles para la venta en títulos participativos de baja, mínima o ninguna bursatilidad, y aquellos no listados en bolsa.</w:t>
            </w:r>
          </w:p>
        </w:tc>
        <w:tc>
          <w:tcPr>
            <w:tcW w:w="2160" w:type="dxa"/>
            <w:tcBorders>
              <w:top w:val="nil"/>
              <w:left w:val="nil"/>
              <w:bottom w:val="single" w:sz="4" w:space="0" w:color="auto"/>
              <w:right w:val="single" w:sz="4" w:space="0" w:color="auto"/>
            </w:tcBorders>
            <w:shd w:val="clear" w:color="000000" w:fill="FFFFFF"/>
            <w:noWrap/>
            <w:vAlign w:val="center"/>
            <w:hideMark/>
          </w:tcPr>
          <w:p w:rsidR="008E5246" w:rsidRPr="00700E68" w:rsidRDefault="008E5246"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30%</w:t>
            </w:r>
          </w:p>
        </w:tc>
      </w:tr>
      <w:tr w:rsidR="003F10CC" w:rsidRPr="00700E68" w:rsidTr="003F10CC">
        <w:trPr>
          <w:trHeight w:val="405"/>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3F10CC" w:rsidRPr="00700E68" w:rsidRDefault="003F10CC"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tcPr>
          <w:p w:rsidR="003F10CC" w:rsidRPr="00700E68" w:rsidRDefault="003F10CC"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-341650</w:t>
            </w:r>
          </w:p>
        </w:tc>
        <w:tc>
          <w:tcPr>
            <w:tcW w:w="5520" w:type="dxa"/>
            <w:tcBorders>
              <w:top w:val="nil"/>
              <w:left w:val="nil"/>
              <w:bottom w:val="single" w:sz="4" w:space="0" w:color="auto"/>
              <w:right w:val="single" w:sz="4" w:space="0" w:color="auto"/>
            </w:tcBorders>
            <w:shd w:val="clear" w:color="000000" w:fill="FFFFFF"/>
          </w:tcPr>
          <w:p w:rsidR="003F10CC" w:rsidRPr="00700E68" w:rsidRDefault="003F10CC" w:rsidP="00E60A23">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Inversiones disponibles para la venta en títulos participativos de baja o mínima bursatilidad o sin cotización en bolsa (db)</w:t>
            </w:r>
          </w:p>
        </w:tc>
        <w:tc>
          <w:tcPr>
            <w:tcW w:w="2160" w:type="dxa"/>
            <w:tcBorders>
              <w:top w:val="nil"/>
              <w:left w:val="nil"/>
              <w:bottom w:val="single" w:sz="4" w:space="0" w:color="auto"/>
              <w:right w:val="single" w:sz="4" w:space="0" w:color="auto"/>
            </w:tcBorders>
            <w:shd w:val="clear" w:color="000000" w:fill="FFFFFF"/>
            <w:noWrap/>
            <w:vAlign w:val="center"/>
          </w:tcPr>
          <w:p w:rsidR="003F10CC" w:rsidRPr="00700E68" w:rsidRDefault="003F10CC"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100%</w:t>
            </w:r>
          </w:p>
        </w:tc>
      </w:tr>
      <w:tr w:rsidR="003F10CC" w:rsidRPr="00700E68" w:rsidTr="004D2C71">
        <w:trPr>
          <w:trHeight w:val="72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3F10CC" w:rsidRPr="00700E68" w:rsidRDefault="003F10CC"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3F10CC" w:rsidRPr="00700E68" w:rsidRDefault="003F10CC"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+695</w:t>
            </w:r>
          </w:p>
        </w:tc>
        <w:tc>
          <w:tcPr>
            <w:tcW w:w="5520" w:type="dxa"/>
            <w:tcBorders>
              <w:top w:val="nil"/>
              <w:left w:val="nil"/>
              <w:bottom w:val="single" w:sz="4" w:space="0" w:color="auto"/>
              <w:right w:val="single" w:sz="4" w:space="0" w:color="auto"/>
            </w:tcBorders>
            <w:shd w:val="clear" w:color="000000" w:fill="FFFFFF"/>
            <w:hideMark/>
          </w:tcPr>
          <w:p w:rsidR="003F10CC" w:rsidRPr="00700E68" w:rsidRDefault="008C608A" w:rsidP="00FD52A1">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Desvalorizaciones en las inversiones de las que trata la subcuenta 082 que estén clasificadas como disponibles para la venta en títulos participativos de baja, mínima o ninguna bursatilidad y aquellos no listados en bolsa.</w:t>
            </w:r>
          </w:p>
        </w:tc>
        <w:tc>
          <w:tcPr>
            <w:tcW w:w="2160" w:type="dxa"/>
            <w:tcBorders>
              <w:top w:val="nil"/>
              <w:left w:val="nil"/>
              <w:bottom w:val="single" w:sz="4" w:space="0" w:color="auto"/>
              <w:right w:val="single" w:sz="4" w:space="0" w:color="auto"/>
            </w:tcBorders>
            <w:shd w:val="clear" w:color="000000" w:fill="FFFFFF"/>
            <w:noWrap/>
            <w:vAlign w:val="center"/>
            <w:hideMark/>
          </w:tcPr>
          <w:p w:rsidR="003F10CC" w:rsidRPr="00700E68" w:rsidRDefault="003F10CC"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100%</w:t>
            </w:r>
          </w:p>
        </w:tc>
      </w:tr>
      <w:tr w:rsidR="003F10CC" w:rsidRPr="00700E68" w:rsidTr="004D2C71">
        <w:trPr>
          <w:trHeight w:val="72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3F10CC" w:rsidRPr="00700E68" w:rsidRDefault="003F10CC"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3F10CC" w:rsidRPr="00700E68" w:rsidRDefault="003F10CC"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+696</w:t>
            </w:r>
          </w:p>
        </w:tc>
        <w:tc>
          <w:tcPr>
            <w:tcW w:w="5520" w:type="dxa"/>
            <w:tcBorders>
              <w:top w:val="nil"/>
              <w:left w:val="nil"/>
              <w:bottom w:val="single" w:sz="4" w:space="0" w:color="auto"/>
              <w:right w:val="single" w:sz="4" w:space="0" w:color="auto"/>
            </w:tcBorders>
            <w:shd w:val="clear" w:color="000000" w:fill="FFFFFF"/>
            <w:hideMark/>
          </w:tcPr>
          <w:p w:rsidR="003F10CC" w:rsidRPr="00700E68" w:rsidRDefault="008C608A" w:rsidP="00E60A23">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Desvalorizaciones en las inversiones de las que trata la subcuenta 650 que estén clasificadas como disponibles para la venta en títulos participativos de baja, mínima o ninguna bursatilidad y aquellos no listados en bolsa.</w:t>
            </w:r>
          </w:p>
        </w:tc>
        <w:tc>
          <w:tcPr>
            <w:tcW w:w="2160" w:type="dxa"/>
            <w:tcBorders>
              <w:top w:val="nil"/>
              <w:left w:val="nil"/>
              <w:bottom w:val="single" w:sz="4" w:space="0" w:color="auto"/>
              <w:right w:val="single" w:sz="4" w:space="0" w:color="auto"/>
            </w:tcBorders>
            <w:shd w:val="clear" w:color="000000" w:fill="FFFFFF"/>
            <w:noWrap/>
            <w:vAlign w:val="center"/>
            <w:hideMark/>
          </w:tcPr>
          <w:p w:rsidR="003F10CC" w:rsidRPr="00700E68" w:rsidRDefault="003F10CC"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100%</w:t>
            </w:r>
          </w:p>
        </w:tc>
      </w:tr>
      <w:tr w:rsidR="003F10CC" w:rsidRPr="00700E68" w:rsidTr="004D2C71">
        <w:trPr>
          <w:trHeight w:val="72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3F10CC" w:rsidRPr="00700E68" w:rsidRDefault="003F10CC"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3F10CC" w:rsidRPr="00700E68" w:rsidRDefault="003F10CC"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-700</w:t>
            </w:r>
          </w:p>
        </w:tc>
        <w:tc>
          <w:tcPr>
            <w:tcW w:w="5520" w:type="dxa"/>
            <w:tcBorders>
              <w:top w:val="nil"/>
              <w:left w:val="nil"/>
              <w:bottom w:val="single" w:sz="4" w:space="0" w:color="auto"/>
              <w:right w:val="single" w:sz="4" w:space="0" w:color="auto"/>
            </w:tcBorders>
            <w:shd w:val="clear" w:color="000000" w:fill="FFFFFF"/>
            <w:hideMark/>
          </w:tcPr>
          <w:p w:rsidR="003F10CC" w:rsidRPr="00700E68" w:rsidRDefault="008C608A" w:rsidP="00E60A23">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Desvalorizaciones en las inversiones de las que trata la subcuenta 655 que estén clasificadas como disponibles para la venta en títulos participativos de baja, mínima o ninguna bursatilidad y aquellos no listados en bolsa.</w:t>
            </w:r>
          </w:p>
        </w:tc>
        <w:tc>
          <w:tcPr>
            <w:tcW w:w="2160" w:type="dxa"/>
            <w:tcBorders>
              <w:top w:val="nil"/>
              <w:left w:val="nil"/>
              <w:bottom w:val="single" w:sz="4" w:space="0" w:color="auto"/>
              <w:right w:val="single" w:sz="4" w:space="0" w:color="auto"/>
            </w:tcBorders>
            <w:shd w:val="clear" w:color="000000" w:fill="FFFFFF"/>
            <w:noWrap/>
            <w:vAlign w:val="center"/>
            <w:hideMark/>
          </w:tcPr>
          <w:p w:rsidR="003F10CC" w:rsidRPr="00700E68" w:rsidRDefault="003F10CC" w:rsidP="00E60A23">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100%</w:t>
            </w:r>
          </w:p>
        </w:tc>
      </w:tr>
      <w:tr w:rsidR="003F10CC" w:rsidRPr="00700E68" w:rsidTr="003F10CC">
        <w:trPr>
          <w:trHeight w:val="583"/>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3F10CC" w:rsidRPr="00700E68" w:rsidRDefault="003F10CC"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3F10CC" w:rsidRPr="00700E68" w:rsidRDefault="003F10CC"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+595</w:t>
            </w:r>
          </w:p>
        </w:tc>
        <w:tc>
          <w:tcPr>
            <w:tcW w:w="5520" w:type="dxa"/>
            <w:tcBorders>
              <w:top w:val="nil"/>
              <w:left w:val="nil"/>
              <w:bottom w:val="single" w:sz="4" w:space="0" w:color="auto"/>
              <w:right w:val="single" w:sz="4" w:space="0" w:color="auto"/>
            </w:tcBorders>
            <w:shd w:val="clear" w:color="000000" w:fill="FFFFFF"/>
            <w:hideMark/>
          </w:tcPr>
          <w:p w:rsidR="003F10CC" w:rsidRPr="00700E68" w:rsidRDefault="00776D27" w:rsidP="00FD52A1">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Valor de los bonos obligatoriamente convertibles en acciones que sean efectivamente colocados y pagados y que cumplan con los requisitos establecidos en el artículo 86 del EOSF.</w:t>
            </w:r>
          </w:p>
        </w:tc>
        <w:tc>
          <w:tcPr>
            <w:tcW w:w="2160" w:type="dxa"/>
            <w:tcBorders>
              <w:top w:val="nil"/>
              <w:left w:val="nil"/>
              <w:bottom w:val="single" w:sz="4" w:space="0" w:color="auto"/>
              <w:right w:val="single" w:sz="4" w:space="0" w:color="auto"/>
            </w:tcBorders>
            <w:shd w:val="clear" w:color="000000" w:fill="FFFFFF"/>
            <w:noWrap/>
            <w:vAlign w:val="center"/>
            <w:hideMark/>
          </w:tcPr>
          <w:p w:rsidR="003F10CC" w:rsidRPr="00700E68" w:rsidRDefault="003F10CC"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100%</w:t>
            </w:r>
          </w:p>
        </w:tc>
      </w:tr>
      <w:tr w:rsidR="003F10CC" w:rsidRPr="00700E68" w:rsidTr="004D2C71">
        <w:trPr>
          <w:trHeight w:val="72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3F10CC" w:rsidRPr="00700E68" w:rsidRDefault="003F10CC"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3F10CC" w:rsidRPr="00700E68" w:rsidRDefault="003F10CC"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+600</w:t>
            </w:r>
          </w:p>
        </w:tc>
        <w:tc>
          <w:tcPr>
            <w:tcW w:w="5520" w:type="dxa"/>
            <w:tcBorders>
              <w:top w:val="nil"/>
              <w:left w:val="nil"/>
              <w:bottom w:val="single" w:sz="4" w:space="0" w:color="auto"/>
              <w:right w:val="single" w:sz="4" w:space="0" w:color="auto"/>
            </w:tcBorders>
            <w:shd w:val="clear" w:color="000000" w:fill="FFFFFF"/>
            <w:hideMark/>
          </w:tcPr>
          <w:p w:rsidR="003F10CC" w:rsidRPr="00700E68" w:rsidRDefault="00776D27" w:rsidP="00FD52A1">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Valor de las obligaciones dinerarias subordinadas efectivamente autorizadas, colocadas y pagadas, reconocidas por la SFC como Patrimonio Adicional (PA) de acuerdo con lo señalado en los artículos 2.1.1.1.6 y 2.1.1.1.13 del Decreto 2555 de 2010. El valor reportado debe corresponder al valor de maduración computable para cada año.</w:t>
            </w:r>
          </w:p>
        </w:tc>
        <w:tc>
          <w:tcPr>
            <w:tcW w:w="2160" w:type="dxa"/>
            <w:tcBorders>
              <w:top w:val="nil"/>
              <w:left w:val="nil"/>
              <w:bottom w:val="single" w:sz="4" w:space="0" w:color="auto"/>
              <w:right w:val="single" w:sz="4" w:space="0" w:color="auto"/>
            </w:tcBorders>
            <w:shd w:val="clear" w:color="000000" w:fill="FFFFFF"/>
            <w:noWrap/>
            <w:vAlign w:val="center"/>
            <w:hideMark/>
          </w:tcPr>
          <w:p w:rsidR="003F10CC" w:rsidRPr="00700E68" w:rsidRDefault="003F10CC"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100%</w:t>
            </w:r>
          </w:p>
        </w:tc>
      </w:tr>
      <w:tr w:rsidR="003F10CC" w:rsidRPr="00700E68" w:rsidTr="00532447">
        <w:trPr>
          <w:trHeight w:val="554"/>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3F10CC" w:rsidRPr="00700E68" w:rsidRDefault="003F10CC"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3F10CC" w:rsidRPr="00700E68" w:rsidRDefault="003F10CC" w:rsidP="00FD52A1">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+625</w:t>
            </w:r>
          </w:p>
        </w:tc>
        <w:tc>
          <w:tcPr>
            <w:tcW w:w="5520" w:type="dxa"/>
            <w:tcBorders>
              <w:top w:val="nil"/>
              <w:left w:val="nil"/>
              <w:bottom w:val="single" w:sz="4" w:space="0" w:color="auto"/>
              <w:right w:val="single" w:sz="4" w:space="0" w:color="auto"/>
            </w:tcBorders>
            <w:shd w:val="clear" w:color="000000" w:fill="FFFFFF"/>
            <w:hideMark/>
          </w:tcPr>
          <w:p w:rsidR="003F10CC" w:rsidRPr="00700E68" w:rsidRDefault="00776D27" w:rsidP="000D4234">
            <w:pPr>
              <w:jc w:val="both"/>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 xml:space="preserve">Valor de las reservas ocasionales, diferentes a la reserva fiscal a la que hace referencia el Decreto 2336 de 1995 sobre las cuales, previo requerimiento de la entidad, la SFC aprobó un compromiso de permanencia mínima en concordancia con el artículo 2.1.1.1.13 del Decreto 2555 de 2010. Transcurrido el periodo de permanencia mínima, estas reservas deben dejar de computar en el PA salvo en </w:t>
            </w:r>
          </w:p>
        </w:tc>
        <w:tc>
          <w:tcPr>
            <w:tcW w:w="2160" w:type="dxa"/>
            <w:tcBorders>
              <w:top w:val="nil"/>
              <w:left w:val="nil"/>
              <w:bottom w:val="single" w:sz="4" w:space="0" w:color="auto"/>
              <w:right w:val="single" w:sz="4" w:space="0" w:color="auto"/>
            </w:tcBorders>
            <w:shd w:val="clear" w:color="000000" w:fill="FFFFFF"/>
            <w:noWrap/>
            <w:vAlign w:val="center"/>
            <w:hideMark/>
          </w:tcPr>
          <w:p w:rsidR="003F10CC" w:rsidRPr="00700E68" w:rsidRDefault="003F10CC" w:rsidP="003F10CC">
            <w:pPr>
              <w:jc w:val="center"/>
              <w:rPr>
                <w:rFonts w:ascii="Arial" w:hAnsi="Arial" w:cs="Arial"/>
                <w:snapToGrid/>
                <w:color w:val="000000"/>
                <w:sz w:val="18"/>
                <w:szCs w:val="18"/>
                <w:lang w:val="es-CO" w:eastAsia="es-CO"/>
              </w:rPr>
            </w:pPr>
            <w:r w:rsidRPr="00700E68">
              <w:rPr>
                <w:rFonts w:ascii="Arial" w:hAnsi="Arial" w:cs="Arial"/>
                <w:snapToGrid/>
                <w:color w:val="000000"/>
                <w:sz w:val="18"/>
                <w:szCs w:val="18"/>
                <w:lang w:val="es-CO" w:eastAsia="es-CO"/>
              </w:rPr>
              <w:t>100%</w:t>
            </w:r>
          </w:p>
        </w:tc>
      </w:tr>
    </w:tbl>
    <w:p w:rsidR="000D4234" w:rsidRDefault="000D4234">
      <w:pPr>
        <w:sectPr w:rsidR="000D4234" w:rsidSect="000D4234">
          <w:headerReference w:type="default" r:id="rId20"/>
          <w:footerReference w:type="default" r:id="rId21"/>
          <w:pgSz w:w="12240" w:h="18720" w:code="14"/>
          <w:pgMar w:top="1148" w:right="1134" w:bottom="1701" w:left="1701" w:header="567" w:footer="567" w:gutter="0"/>
          <w:paperSrc w:first="15"/>
          <w:pgNumType w:start="65"/>
          <w:cols w:space="720"/>
          <w:noEndnote/>
          <w:docGrid w:linePitch="272"/>
        </w:sectPr>
      </w:pPr>
    </w:p>
    <w:tbl>
      <w:tblPr>
        <w:tblW w:w="9472" w:type="dxa"/>
        <w:tblInd w:w="65" w:type="dxa"/>
        <w:tblCellMar>
          <w:left w:w="70" w:type="dxa"/>
          <w:right w:w="70" w:type="dxa"/>
        </w:tblCellMar>
        <w:tblLook w:val="04A0" w:firstRow="1" w:lastRow="0" w:firstColumn="1" w:lastColumn="0" w:noHBand="0" w:noVBand="1"/>
      </w:tblPr>
      <w:tblGrid>
        <w:gridCol w:w="731"/>
        <w:gridCol w:w="1061"/>
        <w:gridCol w:w="5520"/>
        <w:gridCol w:w="2160"/>
      </w:tblGrid>
      <w:tr w:rsidR="000D4234" w:rsidRPr="007D7653" w:rsidTr="00CD6F78">
        <w:trPr>
          <w:trHeight w:val="259"/>
          <w:tblHeader/>
        </w:trPr>
        <w:tc>
          <w:tcPr>
            <w:tcW w:w="7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lastRenderedPageBreak/>
              <w:t>Fuente</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Cuenta/</w:t>
            </w:r>
            <w:r w:rsidRPr="007D7653">
              <w:rPr>
                <w:rFonts w:ascii="Arial" w:hAnsi="Arial" w:cs="Arial"/>
                <w:b/>
                <w:bCs/>
                <w:snapToGrid/>
                <w:color w:val="000000"/>
                <w:sz w:val="18"/>
                <w:szCs w:val="18"/>
                <w:lang w:val="es-CO" w:eastAsia="es-CO"/>
              </w:rPr>
              <w:br/>
              <w:t>Subcuenta</w:t>
            </w:r>
          </w:p>
        </w:tc>
        <w:tc>
          <w:tcPr>
            <w:tcW w:w="552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Denominación</w:t>
            </w:r>
          </w:p>
        </w:tc>
        <w:tc>
          <w:tcPr>
            <w:tcW w:w="216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Ponderación</w:t>
            </w:r>
          </w:p>
        </w:tc>
      </w:tr>
      <w:tr w:rsidR="000D4234" w:rsidRPr="007D7653" w:rsidTr="00CD6F78">
        <w:trPr>
          <w:trHeight w:val="443"/>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p>
        </w:tc>
        <w:tc>
          <w:tcPr>
            <w:tcW w:w="552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both"/>
              <w:rPr>
                <w:rFonts w:ascii="Arial" w:hAnsi="Arial" w:cs="Arial"/>
                <w:snapToGrid/>
                <w:color w:val="000000"/>
                <w:sz w:val="18"/>
                <w:szCs w:val="18"/>
                <w:lang w:val="es-CO" w:eastAsia="es-CO"/>
              </w:rPr>
            </w:pPr>
            <w:proofErr w:type="gramStart"/>
            <w:r w:rsidRPr="007D7653">
              <w:rPr>
                <w:rFonts w:ascii="Arial" w:hAnsi="Arial" w:cs="Arial"/>
                <w:snapToGrid/>
                <w:color w:val="000000"/>
                <w:sz w:val="18"/>
                <w:szCs w:val="18"/>
                <w:lang w:val="es-CO" w:eastAsia="es-CO"/>
              </w:rPr>
              <w:t>el</w:t>
            </w:r>
            <w:proofErr w:type="gramEnd"/>
            <w:r w:rsidRPr="007D7653">
              <w:rPr>
                <w:rFonts w:ascii="Arial" w:hAnsi="Arial" w:cs="Arial"/>
                <w:snapToGrid/>
                <w:color w:val="000000"/>
                <w:sz w:val="18"/>
                <w:szCs w:val="18"/>
                <w:lang w:val="es-CO" w:eastAsia="es-CO"/>
              </w:rPr>
              <w:t xml:space="preserve"> caso que la SFC apruebe un nuevo compromiso sobre las mismas. El valor a reportar en esta subcuenta no debe ser mayor al 10% del Patrimonio Técnico. </w:t>
            </w:r>
          </w:p>
        </w:tc>
        <w:tc>
          <w:tcPr>
            <w:tcW w:w="2160"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p>
        </w:tc>
      </w:tr>
      <w:tr w:rsidR="000D4234" w:rsidRPr="007D7653" w:rsidTr="00CD6F78">
        <w:trPr>
          <w:trHeight w:val="443"/>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+630</w:t>
            </w:r>
          </w:p>
        </w:tc>
        <w:tc>
          <w:tcPr>
            <w:tcW w:w="552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Reserva fiscal a la que hace referencia el Decreto 2336 de 1995.</w:t>
            </w:r>
          </w:p>
        </w:tc>
        <w:tc>
          <w:tcPr>
            <w:tcW w:w="2160"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50%</w:t>
            </w:r>
          </w:p>
        </w:tc>
      </w:tr>
      <w:tr w:rsidR="000D4234" w:rsidRPr="007D7653" w:rsidTr="00CD6F78">
        <w:trPr>
          <w:trHeight w:val="70"/>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PUC</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+360000</w:t>
            </w:r>
          </w:p>
        </w:tc>
        <w:tc>
          <w:tcPr>
            <w:tcW w:w="5520" w:type="dxa"/>
            <w:tcBorders>
              <w:top w:val="nil"/>
              <w:left w:val="nil"/>
              <w:bottom w:val="single" w:sz="4" w:space="0" w:color="auto"/>
              <w:right w:val="single" w:sz="4" w:space="0" w:color="auto"/>
            </w:tcBorders>
            <w:shd w:val="clear" w:color="000000" w:fill="FFFFFF"/>
            <w:vAlign w:val="center"/>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Resultados del ejercicio</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Si la cuenta PUC 36&gt;0, se debe multiplicar por la subcuenta 642 del formato 110.</w:t>
            </w:r>
            <w:r w:rsidRPr="007D7653">
              <w:rPr>
                <w:rFonts w:ascii="Arial" w:hAnsi="Arial" w:cs="Arial"/>
                <w:snapToGrid/>
                <w:color w:val="000000"/>
                <w:sz w:val="18"/>
                <w:szCs w:val="18"/>
                <w:lang w:val="es-CO" w:eastAsia="es-CO"/>
              </w:rPr>
              <w:br/>
              <w:t xml:space="preserve">Sólo aplica a nivel individual. </w:t>
            </w:r>
          </w:p>
        </w:tc>
      </w:tr>
      <w:tr w:rsidR="000D4234" w:rsidRPr="007D7653" w:rsidTr="00CD6F78">
        <w:trPr>
          <w:trHeight w:val="104"/>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noProof/>
                <w:snapToGrid/>
                <w:color w:val="000000"/>
                <w:sz w:val="18"/>
                <w:szCs w:val="18"/>
                <w:lang w:val="es-CO" w:eastAsia="es-CO"/>
              </w:rPr>
              <mc:AlternateContent>
                <mc:Choice Requires="wps">
                  <w:drawing>
                    <wp:anchor distT="0" distB="0" distL="114299" distR="114299" simplePos="0" relativeHeight="251742208" behindDoc="0" locked="0" layoutInCell="1" allowOverlap="1" wp14:anchorId="29B0AF3C" wp14:editId="7A3F51E8">
                      <wp:simplePos x="0" y="0"/>
                      <wp:positionH relativeFrom="column">
                        <wp:posOffset>-121286</wp:posOffset>
                      </wp:positionH>
                      <wp:positionV relativeFrom="paragraph">
                        <wp:posOffset>5080</wp:posOffset>
                      </wp:positionV>
                      <wp:extent cx="0" cy="2003425"/>
                      <wp:effectExtent l="0" t="0" r="19050" b="15875"/>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3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9.55pt;margin-top:.4pt;width:0;height:157.75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JUZHA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"/>
                  </w:pict>
                </mc:Fallback>
              </mc:AlternateContent>
            </w:r>
          </w:p>
          <w:p w:rsidR="000D4234" w:rsidRPr="007D7653" w:rsidRDefault="000D4234" w:rsidP="00CD6F78">
            <w:pP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+635</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Suma ponderada de las utilidades </w:t>
            </w:r>
            <w:r w:rsidRPr="007D7653">
              <w:rPr>
                <w:rFonts w:ascii="Arial" w:hAnsi="Arial" w:cs="Arial"/>
                <w:b/>
                <w:snapToGrid/>
                <w:color w:val="000000"/>
                <w:sz w:val="18"/>
                <w:szCs w:val="18"/>
                <w:lang w:val="es-CO" w:eastAsia="es-CO"/>
              </w:rPr>
              <w:t>(excedentes)</w:t>
            </w:r>
            <w:r w:rsidRPr="007D7653">
              <w:rPr>
                <w:rFonts w:ascii="Arial" w:hAnsi="Arial" w:cs="Arial"/>
                <w:snapToGrid/>
                <w:color w:val="000000"/>
                <w:sz w:val="18"/>
                <w:szCs w:val="18"/>
                <w:lang w:val="es-CO" w:eastAsia="es-CO"/>
              </w:rPr>
              <w:t xml:space="preserve"> individuales del ejercicio en curso de la </w:t>
            </w:r>
            <w:proofErr w:type="spellStart"/>
            <w:r w:rsidRPr="007D7653">
              <w:rPr>
                <w:rFonts w:ascii="Arial" w:hAnsi="Arial" w:cs="Arial"/>
                <w:snapToGrid/>
                <w:color w:val="000000"/>
                <w:sz w:val="18"/>
                <w:szCs w:val="18"/>
                <w:lang w:val="es-CO" w:eastAsia="es-CO"/>
              </w:rPr>
              <w:t>consolidante</w:t>
            </w:r>
            <w:proofErr w:type="spellEnd"/>
            <w:r w:rsidRPr="007D7653">
              <w:rPr>
                <w:rFonts w:ascii="Arial" w:hAnsi="Arial" w:cs="Arial"/>
                <w:snapToGrid/>
                <w:color w:val="000000"/>
                <w:sz w:val="18"/>
                <w:szCs w:val="18"/>
                <w:lang w:val="es-CO" w:eastAsia="es-CO"/>
              </w:rPr>
              <w:t xml:space="preserve"> y sus subordinadas a consolidar, calculada de acuerdo con las instrucciones señaladas en el Capítulo XIII-13 de la CBCF.</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 Sólo aplica a nivel consolidado.</w:t>
            </w:r>
          </w:p>
        </w:tc>
      </w:tr>
      <w:tr w:rsidR="000D4234" w:rsidRPr="007D7653" w:rsidTr="00CD6F78">
        <w:trPr>
          <w:trHeight w:val="132"/>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p>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+640</w:t>
            </w:r>
          </w:p>
        </w:tc>
        <w:tc>
          <w:tcPr>
            <w:tcW w:w="5520" w:type="dxa"/>
            <w:tcBorders>
              <w:top w:val="nil"/>
              <w:left w:val="nil"/>
              <w:bottom w:val="single" w:sz="4" w:space="0" w:color="auto"/>
              <w:right w:val="single" w:sz="4" w:space="0" w:color="auto"/>
            </w:tcBorders>
            <w:shd w:val="clear" w:color="000000" w:fill="FFFFFF"/>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Valor reportado en la subcuenta 635 al 31 de diciembre del año anterior.</w:t>
            </w:r>
          </w:p>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Esta subcuenta sólo debe reportarse entre el primero de enero y el día antes de la celebración de la Asamblea Ordinaria de Accionistas </w:t>
            </w:r>
            <w:r w:rsidRPr="007D7653">
              <w:rPr>
                <w:rFonts w:ascii="Arial" w:hAnsi="Arial" w:cs="Arial"/>
                <w:b/>
                <w:snapToGrid/>
                <w:color w:val="000000"/>
                <w:sz w:val="18"/>
                <w:szCs w:val="18"/>
                <w:lang w:val="es-CO" w:eastAsia="es-CO"/>
              </w:rPr>
              <w:t>u órgano que haga su veces</w:t>
            </w:r>
            <w:r w:rsidRPr="007D7653">
              <w:rPr>
                <w:rFonts w:ascii="Arial" w:hAnsi="Arial" w:cs="Arial"/>
                <w:snapToGrid/>
                <w:color w:val="000000"/>
                <w:sz w:val="18"/>
                <w:szCs w:val="18"/>
                <w:lang w:val="es-CO" w:eastAsia="es-CO"/>
              </w:rPr>
              <w:t>.</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 Sólo aplica a nivel consolidado.</w:t>
            </w:r>
          </w:p>
        </w:tc>
      </w:tr>
      <w:tr w:rsidR="000D4234" w:rsidRPr="007D7653" w:rsidTr="00CD6F78">
        <w:trPr>
          <w:trHeight w:val="720"/>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+641</w:t>
            </w:r>
          </w:p>
        </w:tc>
        <w:tc>
          <w:tcPr>
            <w:tcW w:w="552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Valor de las utilidades </w:t>
            </w:r>
            <w:r w:rsidRPr="007D7653">
              <w:rPr>
                <w:rFonts w:ascii="Arial" w:hAnsi="Arial" w:cs="Arial"/>
                <w:b/>
                <w:snapToGrid/>
                <w:color w:val="000000"/>
                <w:sz w:val="18"/>
                <w:szCs w:val="18"/>
                <w:lang w:val="es-CO" w:eastAsia="es-CO"/>
              </w:rPr>
              <w:t>(excedentes)</w:t>
            </w:r>
            <w:r w:rsidRPr="007D7653">
              <w:rPr>
                <w:rFonts w:ascii="Arial" w:hAnsi="Arial" w:cs="Arial"/>
                <w:snapToGrid/>
                <w:color w:val="000000"/>
                <w:sz w:val="18"/>
                <w:szCs w:val="18"/>
                <w:lang w:val="es-CO" w:eastAsia="es-CO"/>
              </w:rPr>
              <w:t xml:space="preserve"> obtenidas en el ejercicio anterior. </w:t>
            </w:r>
          </w:p>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Esta subcuenta sólo debe reportarse entre el primero de enero y el día antes de la celebración de la Asamblea Ordinaria de Accionistas </w:t>
            </w:r>
            <w:r w:rsidRPr="007D7653">
              <w:rPr>
                <w:rFonts w:ascii="Arial" w:hAnsi="Arial" w:cs="Arial"/>
                <w:b/>
                <w:snapToGrid/>
                <w:color w:val="000000"/>
                <w:sz w:val="18"/>
                <w:szCs w:val="18"/>
                <w:lang w:val="es-CO" w:eastAsia="es-CO"/>
              </w:rPr>
              <w:t>u órgano que haga su veces</w:t>
            </w:r>
            <w:r w:rsidRPr="007D7653">
              <w:rPr>
                <w:rFonts w:ascii="Arial" w:hAnsi="Arial" w:cs="Arial"/>
                <w:snapToGrid/>
                <w:color w:val="000000"/>
                <w:sz w:val="18"/>
                <w:szCs w:val="18"/>
                <w:lang w:val="es-CO" w:eastAsia="es-CO"/>
              </w:rPr>
              <w:t>.</w:t>
            </w:r>
          </w:p>
        </w:tc>
        <w:tc>
          <w:tcPr>
            <w:tcW w:w="2160"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 xml:space="preserve">Si la </w:t>
            </w:r>
            <w:r w:rsidRPr="007D7653">
              <w:rPr>
                <w:rFonts w:ascii="Arial" w:hAnsi="Arial" w:cs="Arial"/>
                <w:b/>
                <w:snapToGrid/>
                <w:color w:val="000000"/>
                <w:sz w:val="18"/>
                <w:szCs w:val="18"/>
                <w:lang w:val="es-CO" w:eastAsia="es-CO"/>
              </w:rPr>
              <w:t>subcuenta</w:t>
            </w:r>
            <w:r w:rsidRPr="007D7653">
              <w:rPr>
                <w:rFonts w:ascii="Arial" w:hAnsi="Arial" w:cs="Arial"/>
                <w:snapToGrid/>
                <w:color w:val="000000"/>
                <w:sz w:val="18"/>
                <w:szCs w:val="18"/>
                <w:lang w:val="es-CO" w:eastAsia="es-CO"/>
              </w:rPr>
              <w:t xml:space="preserve"> </w:t>
            </w:r>
            <w:r w:rsidRPr="007D7653">
              <w:rPr>
                <w:rFonts w:ascii="Arial" w:hAnsi="Arial" w:cs="Arial"/>
                <w:b/>
                <w:snapToGrid/>
                <w:color w:val="000000"/>
                <w:sz w:val="18"/>
                <w:szCs w:val="18"/>
                <w:lang w:val="es-CO" w:eastAsia="es-CO"/>
              </w:rPr>
              <w:t>641</w:t>
            </w:r>
            <w:r w:rsidRPr="007D7653">
              <w:rPr>
                <w:rFonts w:ascii="Arial" w:hAnsi="Arial" w:cs="Arial"/>
                <w:snapToGrid/>
                <w:color w:val="000000"/>
                <w:sz w:val="18"/>
                <w:szCs w:val="18"/>
                <w:lang w:val="es-CO" w:eastAsia="es-CO"/>
              </w:rPr>
              <w:t>&gt;0, se debe multiplicar por la subcuenta 642 del formato 110.</w:t>
            </w:r>
            <w:r w:rsidRPr="007D7653">
              <w:rPr>
                <w:rFonts w:ascii="Arial" w:hAnsi="Arial" w:cs="Arial"/>
                <w:snapToGrid/>
                <w:color w:val="000000"/>
                <w:sz w:val="18"/>
                <w:szCs w:val="18"/>
                <w:lang w:val="es-CO" w:eastAsia="es-CO"/>
              </w:rPr>
              <w:br/>
              <w:t>Sólo aplica a nivel individual.</w:t>
            </w:r>
          </w:p>
        </w:tc>
      </w:tr>
      <w:tr w:rsidR="000D4234" w:rsidRPr="007D7653" w:rsidTr="00CD6F78">
        <w:trPr>
          <w:trHeight w:val="720"/>
        </w:trPr>
        <w:tc>
          <w:tcPr>
            <w:tcW w:w="731" w:type="dxa"/>
            <w:tcBorders>
              <w:top w:val="nil"/>
              <w:left w:val="single" w:sz="4" w:space="0" w:color="auto"/>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+720</w:t>
            </w:r>
          </w:p>
        </w:tc>
        <w:tc>
          <w:tcPr>
            <w:tcW w:w="5520" w:type="dxa"/>
            <w:tcBorders>
              <w:top w:val="nil"/>
              <w:left w:val="nil"/>
              <w:bottom w:val="single" w:sz="4" w:space="0" w:color="auto"/>
              <w:right w:val="single" w:sz="4" w:space="0" w:color="auto"/>
            </w:tcBorders>
            <w:shd w:val="clear" w:color="000000" w:fill="FFFFFF"/>
            <w:vAlign w:val="center"/>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Valor de la provisión general que deben constituir las entidades vigiladas de acuerdo con lo establecido en el Capítulo II de la CBCF. No se tienen en cuenta los excesos sobre las provisiones generales regulatorias. El valor a reportar en esta subcuenta no debe ser mayor al 1.25% de los activos ponderados por nivel de riesgo crediticio.</w:t>
            </w:r>
          </w:p>
        </w:tc>
        <w:tc>
          <w:tcPr>
            <w:tcW w:w="2160" w:type="dxa"/>
            <w:tcBorders>
              <w:top w:val="nil"/>
              <w:left w:val="nil"/>
              <w:bottom w:val="single" w:sz="4" w:space="0" w:color="auto"/>
              <w:right w:val="single" w:sz="4" w:space="0" w:color="auto"/>
            </w:tcBorders>
            <w:shd w:val="clear" w:color="000000" w:fill="FFFFFF"/>
            <w:noWrap/>
            <w:vAlign w:val="center"/>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bl>
    <w:p w:rsidR="000D4234" w:rsidRPr="007D7653" w:rsidRDefault="000D4234" w:rsidP="000D4234">
      <w:pPr>
        <w:jc w:val="both"/>
        <w:rPr>
          <w:rFonts w:ascii="Arial" w:hAnsi="Arial" w:cs="Arial"/>
          <w:snapToGrid/>
          <w:color w:val="000000"/>
          <w:sz w:val="18"/>
          <w:szCs w:val="18"/>
          <w:highlight w:val="yellow"/>
          <w:lang w:val="es-CO" w:eastAsia="es-CO"/>
        </w:rPr>
      </w:pPr>
    </w:p>
    <w:p w:rsidR="000D4234" w:rsidRPr="007D7653" w:rsidRDefault="000D4234" w:rsidP="000D4234">
      <w:pPr>
        <w:ind w:left="851" w:hanging="851"/>
        <w:jc w:val="both"/>
        <w:rPr>
          <w:rFonts w:ascii="Arial" w:hAnsi="Arial" w:cs="Arial"/>
          <w:sz w:val="18"/>
          <w:szCs w:val="18"/>
        </w:rPr>
      </w:pPr>
      <w:r w:rsidRPr="007D7653">
        <w:rPr>
          <w:rFonts w:ascii="Arial" w:hAnsi="Arial" w:cs="Arial"/>
          <w:b/>
          <w:sz w:val="18"/>
          <w:szCs w:val="18"/>
        </w:rPr>
        <w:t xml:space="preserve">2.2.4.1    Criterios para la valoración de los títulos participativos de baja, mínima o ninguna </w:t>
      </w:r>
      <w:proofErr w:type="spellStart"/>
      <w:r w:rsidRPr="007D7653">
        <w:rPr>
          <w:rFonts w:ascii="Arial" w:hAnsi="Arial" w:cs="Arial"/>
          <w:b/>
          <w:sz w:val="18"/>
          <w:szCs w:val="18"/>
        </w:rPr>
        <w:t>bursatilidad</w:t>
      </w:r>
      <w:proofErr w:type="spellEnd"/>
      <w:r w:rsidRPr="007D7653">
        <w:rPr>
          <w:rFonts w:ascii="Arial" w:hAnsi="Arial" w:cs="Arial"/>
          <w:b/>
          <w:sz w:val="18"/>
          <w:szCs w:val="18"/>
        </w:rPr>
        <w:t xml:space="preserve"> y aquellos no listados en bolsa</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En virtud de lo previsto en el literal f) del artículo 2.1.1.1.13 del Decreto 2555 de 2010, la valoración de los títulos participativos de baja, mínima o ninguna </w:t>
      </w:r>
      <w:proofErr w:type="spellStart"/>
      <w:r w:rsidRPr="007D7653">
        <w:rPr>
          <w:rFonts w:ascii="Arial" w:hAnsi="Arial" w:cs="Arial"/>
          <w:sz w:val="18"/>
          <w:szCs w:val="18"/>
        </w:rPr>
        <w:t>bursatilidad</w:t>
      </w:r>
      <w:proofErr w:type="spellEnd"/>
      <w:r w:rsidRPr="007D7653">
        <w:rPr>
          <w:rFonts w:ascii="Arial" w:hAnsi="Arial" w:cs="Arial"/>
          <w:sz w:val="18"/>
          <w:szCs w:val="18"/>
        </w:rPr>
        <w:t>, y aquellos no listados en bolsa debe realizarse de acuerdo con los criterios señalados en el Capítulo I “Clasificación, valoración y contabilización de inversiones” de la CBCF.</w:t>
      </w:r>
    </w:p>
    <w:p w:rsidR="000D4234" w:rsidRPr="007D7653" w:rsidRDefault="000D4234" w:rsidP="000D4234">
      <w:pPr>
        <w:jc w:val="both"/>
        <w:rPr>
          <w:rFonts w:ascii="Arial" w:hAnsi="Arial" w:cs="Arial"/>
          <w:sz w:val="18"/>
          <w:szCs w:val="18"/>
        </w:rPr>
      </w:pPr>
    </w:p>
    <w:p w:rsidR="000D4234" w:rsidRPr="007D7653" w:rsidRDefault="000D4234" w:rsidP="000D4234">
      <w:pPr>
        <w:ind w:left="851" w:hanging="851"/>
        <w:jc w:val="both"/>
        <w:rPr>
          <w:rFonts w:ascii="Arial" w:hAnsi="Arial" w:cs="Arial"/>
          <w:b/>
          <w:sz w:val="18"/>
          <w:szCs w:val="18"/>
        </w:rPr>
      </w:pPr>
      <w:r w:rsidRPr="007D7653">
        <w:rPr>
          <w:rFonts w:ascii="Arial" w:hAnsi="Arial" w:cs="Arial"/>
          <w:b/>
          <w:sz w:val="18"/>
          <w:szCs w:val="18"/>
        </w:rPr>
        <w:t>2.2.4.2      Utilidades del ejercicio en curso a nivel consolidado</w:t>
      </w:r>
    </w:p>
    <w:p w:rsidR="000D4234" w:rsidRPr="007D7653" w:rsidRDefault="000D4234" w:rsidP="000D4234">
      <w:pPr>
        <w:jc w:val="both"/>
        <w:rPr>
          <w:rFonts w:ascii="Arial" w:hAnsi="Arial" w:cs="Arial"/>
          <w:b/>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Las utilidades del ejercicio en curso que se reconocen en el Patrimonio Adicional a nivel consolidado se deben calcular de acuerdo con la siguiente fórmula:</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m:oMathPara>
        <m:oMath>
          <m:nary>
            <m:naryPr>
              <m:chr m:val="∑"/>
              <m:limLoc m:val="undOvr"/>
              <m:subHide m:val="1"/>
              <m:supHide m:val="1"/>
              <m:ctrlPr>
                <w:rPr>
                  <w:rFonts w:ascii="Cambria Math" w:hAnsi="Cambria Math" w:cs="Arial"/>
                  <w:i/>
                  <w:sz w:val="18"/>
                  <w:szCs w:val="18"/>
                </w:rPr>
              </m:ctrlPr>
            </m:naryPr>
            <m:sub/>
            <m:sup/>
            <m:e>
              <m:sSub>
                <m:sSubPr>
                  <m:ctrlPr>
                    <w:rPr>
                      <w:rFonts w:ascii="Cambria Math" w:hAnsi="Cambria Math" w:cs="Arial"/>
                      <w:i/>
                      <w:sz w:val="18"/>
                      <w:szCs w:val="18"/>
                    </w:rPr>
                  </m:ctrlPr>
                </m:sSubPr>
                <m:e>
                  <m:d>
                    <m:dPr>
                      <m:begChr m:val="["/>
                      <m:endChr m:val="]"/>
                      <m:ctrlPr>
                        <w:rPr>
                          <w:rFonts w:ascii="Cambria Math" w:hAnsi="Cambria Math" w:cs="Arial"/>
                          <w:i/>
                          <w:sz w:val="18"/>
                          <w:szCs w:val="18"/>
                        </w:rPr>
                      </m:ctrlPr>
                    </m:dPr>
                    <m:e>
                      <m:r>
                        <w:rPr>
                          <w:rFonts w:ascii="Cambria Math" w:hAnsi="Cambria Math" w:cs="Arial"/>
                          <w:sz w:val="18"/>
                          <w:szCs w:val="18"/>
                        </w:rPr>
                        <m:t>U.ind.-op. recip.</m:t>
                      </m:r>
                    </m:e>
                  </m:d>
                </m:e>
                <m:sub>
                  <m:r>
                    <w:rPr>
                      <w:rFonts w:ascii="Cambria Math" w:hAnsi="Cambria Math" w:cs="Arial"/>
                      <w:sz w:val="18"/>
                      <w:szCs w:val="18"/>
                    </w:rPr>
                    <m:t>i</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x</m:t>
                  </m:r>
                </m:e>
                <m:sub>
                  <m:r>
                    <w:rPr>
                      <w:rFonts w:ascii="Cambria Math" w:hAnsi="Cambria Math" w:cs="Arial"/>
                      <w:sz w:val="18"/>
                      <w:szCs w:val="18"/>
                    </w:rPr>
                    <m:t>i</m:t>
                  </m:r>
                </m:sub>
              </m:sSub>
            </m:e>
          </m:nary>
        </m:oMath>
      </m:oMathPara>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En donde, </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m:oMath>
        <m:r>
          <w:rPr>
            <w:rFonts w:ascii="Cambria Math" w:hAnsi="Cambria Math" w:cs="Arial"/>
            <w:sz w:val="18"/>
            <w:szCs w:val="18"/>
          </w:rPr>
          <m:t>U.ind.</m:t>
        </m:r>
      </m:oMath>
      <w:r w:rsidRPr="007D7653">
        <w:rPr>
          <w:rFonts w:ascii="Arial" w:hAnsi="Arial" w:cs="Arial"/>
          <w:sz w:val="18"/>
          <w:szCs w:val="18"/>
        </w:rPr>
        <w:t xml:space="preserve">    = Utilidad individual del ejercicio en curso de cada entidad.</w:t>
      </w:r>
    </w:p>
    <w:p w:rsidR="000D4234" w:rsidRPr="007D7653" w:rsidRDefault="000D4234" w:rsidP="000D4234">
      <w:pPr>
        <w:jc w:val="both"/>
        <w:rPr>
          <w:rFonts w:ascii="Arial" w:hAnsi="Arial" w:cs="Arial"/>
          <w:sz w:val="18"/>
          <w:szCs w:val="18"/>
        </w:rPr>
      </w:pPr>
      <m:oMath>
        <m:r>
          <w:rPr>
            <w:rFonts w:ascii="Cambria Math" w:hAnsi="Cambria Math" w:cs="Arial"/>
            <w:sz w:val="18"/>
            <w:szCs w:val="18"/>
          </w:rPr>
          <m:t>op. recip.</m:t>
        </m:r>
      </m:oMath>
      <w:r w:rsidRPr="007D7653">
        <w:rPr>
          <w:rFonts w:ascii="Arial" w:hAnsi="Arial" w:cs="Arial"/>
          <w:sz w:val="18"/>
          <w:szCs w:val="18"/>
        </w:rPr>
        <w:t xml:space="preserve">= Ingresos y gastos de las operaciones recíprocas de cada una de las entidades sujetas a consolidar. </w:t>
      </w:r>
    </w:p>
    <w:p w:rsidR="000D4234" w:rsidRPr="007D7653" w:rsidRDefault="000D4234" w:rsidP="000D4234">
      <w:pPr>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x</m:t>
            </m:r>
          </m:e>
          <m:sub>
            <m:r>
              <w:rPr>
                <w:rFonts w:ascii="Cambria Math" w:hAnsi="Cambria Math" w:cs="Arial"/>
                <w:sz w:val="18"/>
                <w:szCs w:val="18"/>
              </w:rPr>
              <m:t>i</m:t>
            </m:r>
          </m:sub>
        </m:sSub>
      </m:oMath>
      <w:r w:rsidRPr="007D7653">
        <w:rPr>
          <w:rFonts w:ascii="Arial" w:hAnsi="Arial" w:cs="Arial"/>
          <w:sz w:val="18"/>
          <w:szCs w:val="18"/>
        </w:rPr>
        <w:t xml:space="preserve">           = Porcentaje que la entidad se comprometió a capitalizar o a incrementar la reserva legal de acuerdo con lo señalado en el artículo 2.1.1.1.13 del Decreto 2555 de 2010. </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Para efectos del presente cálculo, aquellas entidades consolidadas por la </w:t>
      </w:r>
      <w:proofErr w:type="spellStart"/>
      <w:r w:rsidRPr="007D7653">
        <w:rPr>
          <w:rFonts w:ascii="Arial" w:hAnsi="Arial" w:cs="Arial"/>
          <w:sz w:val="18"/>
          <w:szCs w:val="18"/>
        </w:rPr>
        <w:t>consolidante</w:t>
      </w:r>
      <w:proofErr w:type="spellEnd"/>
      <w:r w:rsidRPr="007D7653">
        <w:rPr>
          <w:rFonts w:ascii="Arial" w:hAnsi="Arial" w:cs="Arial"/>
          <w:sz w:val="18"/>
          <w:szCs w:val="18"/>
        </w:rPr>
        <w:t xml:space="preserve"> que no deban dar cumplimiento al Capítulo 1 del Libro 1 de la Parte 2 del Decreto 2555 de 2010, deben aplicar el porcentaje comprometido de la </w:t>
      </w:r>
      <w:proofErr w:type="spellStart"/>
      <w:r w:rsidRPr="007D7653">
        <w:rPr>
          <w:rFonts w:ascii="Arial" w:hAnsi="Arial" w:cs="Arial"/>
          <w:sz w:val="18"/>
          <w:szCs w:val="18"/>
        </w:rPr>
        <w:t>consolidante</w:t>
      </w:r>
      <w:proofErr w:type="spellEnd"/>
      <w:r w:rsidRPr="007D7653">
        <w:rPr>
          <w:rFonts w:ascii="Arial" w:hAnsi="Arial" w:cs="Arial"/>
          <w:sz w:val="18"/>
          <w:szCs w:val="18"/>
        </w:rPr>
        <w:t xml:space="preserve">. </w:t>
      </w:r>
    </w:p>
    <w:p w:rsidR="000D4234" w:rsidRPr="007D7653" w:rsidRDefault="000D4234" w:rsidP="000D4234">
      <w:pPr>
        <w:jc w:val="both"/>
        <w:rPr>
          <w:rFonts w:ascii="Arial" w:hAnsi="Arial" w:cs="Arial"/>
          <w:sz w:val="18"/>
          <w:szCs w:val="18"/>
        </w:rPr>
      </w:pPr>
    </w:p>
    <w:p w:rsidR="000D4234" w:rsidRPr="007D7653" w:rsidRDefault="000D4234" w:rsidP="000D4234">
      <w:pPr>
        <w:pStyle w:val="Prrafodelista"/>
        <w:numPr>
          <w:ilvl w:val="2"/>
          <w:numId w:val="21"/>
        </w:numPr>
        <w:ind w:left="851" w:hanging="851"/>
        <w:jc w:val="both"/>
        <w:rPr>
          <w:rFonts w:ascii="Arial" w:hAnsi="Arial" w:cs="Arial"/>
          <w:b/>
          <w:sz w:val="18"/>
          <w:szCs w:val="18"/>
        </w:rPr>
      </w:pPr>
      <w:r w:rsidRPr="007D7653">
        <w:rPr>
          <w:rFonts w:ascii="Arial" w:hAnsi="Arial" w:cs="Arial"/>
          <w:b/>
          <w:sz w:val="18"/>
          <w:szCs w:val="18"/>
        </w:rPr>
        <w:t>Deducciones al PT</w:t>
      </w:r>
    </w:p>
    <w:p w:rsidR="000D4234" w:rsidRPr="007D7653" w:rsidRDefault="000D4234" w:rsidP="000D4234">
      <w:pPr>
        <w:pStyle w:val="Prrafodelista"/>
        <w:ind w:left="1080"/>
        <w:jc w:val="both"/>
        <w:rPr>
          <w:rFonts w:ascii="Arial" w:hAnsi="Arial" w:cs="Arial"/>
          <w:b/>
          <w:sz w:val="18"/>
          <w:szCs w:val="18"/>
          <w:highlight w:val="yellow"/>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Las deducciones al PT de las que trata el literal h) del artículo 2.1.1.3.4 del Decreto 2555 de 2010 comprenden los siguientes rubros:</w:t>
      </w:r>
    </w:p>
    <w:p w:rsidR="000D4234" w:rsidRPr="007D7653" w:rsidRDefault="000D4234" w:rsidP="000D4234">
      <w:pPr>
        <w:jc w:val="both"/>
        <w:rPr>
          <w:rFonts w:ascii="Arial" w:hAnsi="Arial" w:cs="Arial"/>
          <w:sz w:val="18"/>
          <w:szCs w:val="18"/>
        </w:rPr>
      </w:pPr>
    </w:p>
    <w:tbl>
      <w:tblPr>
        <w:tblW w:w="9472" w:type="dxa"/>
        <w:tblInd w:w="65" w:type="dxa"/>
        <w:tblCellMar>
          <w:left w:w="70" w:type="dxa"/>
          <w:right w:w="70" w:type="dxa"/>
        </w:tblCellMar>
        <w:tblLook w:val="04A0" w:firstRow="1" w:lastRow="0" w:firstColumn="1" w:lastColumn="0" w:noHBand="0" w:noVBand="1"/>
      </w:tblPr>
      <w:tblGrid>
        <w:gridCol w:w="731"/>
        <w:gridCol w:w="1061"/>
        <w:gridCol w:w="5520"/>
        <w:gridCol w:w="2160"/>
      </w:tblGrid>
      <w:tr w:rsidR="000D4234" w:rsidRPr="007D7653" w:rsidTr="00CD6F78">
        <w:trPr>
          <w:trHeight w:val="227"/>
          <w:tblHeader/>
        </w:trPr>
        <w:tc>
          <w:tcPr>
            <w:tcW w:w="7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sz w:val="18"/>
                <w:szCs w:val="18"/>
              </w:rPr>
            </w:pPr>
            <w:r w:rsidRPr="007D7653">
              <w:rPr>
                <w:rFonts w:ascii="Arial" w:hAnsi="Arial" w:cs="Arial"/>
                <w:sz w:val="18"/>
                <w:szCs w:val="18"/>
              </w:rPr>
              <w:br w:type="page"/>
            </w:r>
            <w:r w:rsidRPr="007D7653">
              <w:rPr>
                <w:rFonts w:ascii="Arial" w:hAnsi="Arial" w:cs="Arial"/>
                <w:sz w:val="18"/>
                <w:szCs w:val="18"/>
              </w:rPr>
              <w:br w:type="page"/>
            </w:r>
            <w:r w:rsidRPr="007D7653">
              <w:rPr>
                <w:rFonts w:ascii="Arial" w:hAnsi="Arial" w:cs="Arial"/>
                <w:sz w:val="18"/>
                <w:szCs w:val="18"/>
              </w:rPr>
              <w:br w:type="page"/>
            </w:r>
            <w:r w:rsidRPr="007D7653">
              <w:rPr>
                <w:rFonts w:ascii="Arial" w:hAnsi="Arial" w:cs="Arial"/>
                <w:b/>
                <w:bCs/>
                <w:snapToGrid/>
                <w:color w:val="000000"/>
                <w:sz w:val="18"/>
                <w:szCs w:val="18"/>
                <w:lang w:val="es-CO" w:eastAsia="es-CO"/>
              </w:rPr>
              <w:t>Fuente</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Cuenta/</w:t>
            </w:r>
            <w:r w:rsidRPr="007D7653">
              <w:rPr>
                <w:rFonts w:ascii="Arial" w:hAnsi="Arial" w:cs="Arial"/>
                <w:b/>
                <w:bCs/>
                <w:snapToGrid/>
                <w:color w:val="000000"/>
                <w:sz w:val="18"/>
                <w:szCs w:val="18"/>
                <w:lang w:val="es-CO" w:eastAsia="es-CO"/>
              </w:rPr>
              <w:br/>
              <w:t>Subcuenta</w:t>
            </w:r>
          </w:p>
        </w:tc>
        <w:tc>
          <w:tcPr>
            <w:tcW w:w="552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Denominación</w:t>
            </w:r>
          </w:p>
        </w:tc>
        <w:tc>
          <w:tcPr>
            <w:tcW w:w="216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Ponderación</w:t>
            </w:r>
          </w:p>
        </w:tc>
      </w:tr>
      <w:tr w:rsidR="000D4234" w:rsidRPr="007D7653" w:rsidTr="00CD6F78">
        <w:trPr>
          <w:trHeight w:val="664"/>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+508</w:t>
            </w:r>
          </w:p>
        </w:tc>
        <w:tc>
          <w:tcPr>
            <w:tcW w:w="5520" w:type="dxa"/>
            <w:tcBorders>
              <w:top w:val="nil"/>
              <w:left w:val="nil"/>
              <w:bottom w:val="single" w:sz="4" w:space="0" w:color="auto"/>
              <w:right w:val="single" w:sz="4" w:space="0" w:color="auto"/>
            </w:tcBorders>
            <w:shd w:val="clear" w:color="000000" w:fill="FFFFFF"/>
            <w:vAlign w:val="center"/>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Inversiones efectuadas en títulos  derivados de procesos de titularización con calificación de largo plazo, efectuada por agencia calificadora autorizada  por la SFC sea igual a: DD, EE, E o sin calificación.</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bl>
    <w:p w:rsidR="000D4234" w:rsidRPr="007D7653" w:rsidRDefault="000D4234" w:rsidP="000D4234">
      <w:pPr>
        <w:pStyle w:val="Prrafodelista"/>
        <w:ind w:left="851"/>
        <w:jc w:val="both"/>
        <w:rPr>
          <w:rFonts w:ascii="Arial" w:hAnsi="Arial" w:cs="Arial"/>
          <w:b/>
          <w:sz w:val="18"/>
          <w:szCs w:val="18"/>
        </w:rPr>
        <w:sectPr w:rsidR="000D4234" w:rsidRPr="007D7653" w:rsidSect="007612C8">
          <w:headerReference w:type="default" r:id="rId22"/>
          <w:footerReference w:type="default" r:id="rId23"/>
          <w:pgSz w:w="12240" w:h="18720" w:code="14"/>
          <w:pgMar w:top="1148" w:right="1134" w:bottom="1701" w:left="1701" w:header="567" w:footer="567" w:gutter="0"/>
          <w:paperSrc w:first="15"/>
          <w:pgNumType w:start="64"/>
          <w:cols w:space="720"/>
          <w:noEndnote/>
          <w:docGrid w:linePitch="272"/>
        </w:sectPr>
      </w:pPr>
    </w:p>
    <w:tbl>
      <w:tblPr>
        <w:tblW w:w="9472" w:type="dxa"/>
        <w:tblInd w:w="65" w:type="dxa"/>
        <w:tblCellMar>
          <w:left w:w="70" w:type="dxa"/>
          <w:right w:w="70" w:type="dxa"/>
        </w:tblCellMar>
        <w:tblLook w:val="04A0" w:firstRow="1" w:lastRow="0" w:firstColumn="1" w:lastColumn="0" w:noHBand="0" w:noVBand="1"/>
      </w:tblPr>
      <w:tblGrid>
        <w:gridCol w:w="731"/>
        <w:gridCol w:w="1061"/>
        <w:gridCol w:w="5520"/>
        <w:gridCol w:w="2160"/>
      </w:tblGrid>
      <w:tr w:rsidR="000D4234" w:rsidRPr="007D7653" w:rsidTr="00CD6F78">
        <w:trPr>
          <w:trHeight w:val="227"/>
          <w:tblHeader/>
        </w:trPr>
        <w:tc>
          <w:tcPr>
            <w:tcW w:w="7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lastRenderedPageBreak/>
              <w:t>Fuente</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Cuenta/</w:t>
            </w:r>
            <w:r w:rsidRPr="007D7653">
              <w:rPr>
                <w:rFonts w:ascii="Arial" w:hAnsi="Arial" w:cs="Arial"/>
                <w:b/>
                <w:bCs/>
                <w:snapToGrid/>
                <w:color w:val="000000"/>
                <w:sz w:val="18"/>
                <w:szCs w:val="18"/>
                <w:lang w:val="es-CO" w:eastAsia="es-CO"/>
              </w:rPr>
              <w:br/>
              <w:t>Subcuenta</w:t>
            </w:r>
          </w:p>
        </w:tc>
        <w:tc>
          <w:tcPr>
            <w:tcW w:w="552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Denominación</w:t>
            </w:r>
          </w:p>
        </w:tc>
        <w:tc>
          <w:tcPr>
            <w:tcW w:w="216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Ponderación</w:t>
            </w:r>
          </w:p>
        </w:tc>
      </w:tr>
      <w:tr w:rsidR="000D4234" w:rsidRPr="007D7653" w:rsidTr="00CD6F78">
        <w:trPr>
          <w:trHeight w:val="535"/>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F.110</w:t>
            </w: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+516</w:t>
            </w:r>
          </w:p>
        </w:tc>
        <w:tc>
          <w:tcPr>
            <w:tcW w:w="5520" w:type="dxa"/>
            <w:tcBorders>
              <w:top w:val="nil"/>
              <w:left w:val="nil"/>
              <w:bottom w:val="single" w:sz="4" w:space="0" w:color="auto"/>
              <w:right w:val="single" w:sz="4" w:space="0" w:color="auto"/>
            </w:tcBorders>
            <w:shd w:val="clear" w:color="000000" w:fill="FFFFFF"/>
            <w:vAlign w:val="center"/>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Inversiones efectuadas en títulos  derivados de procesos de titularización con calificación de corto plazo, efectuada por agencia calificadora autorizada  por la SFC sea igual a: 5.</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100%</w:t>
            </w:r>
          </w:p>
        </w:tc>
      </w:tr>
    </w:tbl>
    <w:p w:rsidR="000D4234" w:rsidRPr="007D7653" w:rsidRDefault="000D4234" w:rsidP="000D4234">
      <w:pPr>
        <w:rPr>
          <w:rFonts w:ascii="Arial" w:hAnsi="Arial" w:cs="Arial"/>
          <w:sz w:val="18"/>
          <w:szCs w:val="18"/>
          <w:highlight w:val="yellow"/>
        </w:rPr>
        <w:sectPr w:rsidR="000D4234" w:rsidRPr="007D7653" w:rsidSect="00FE17F9">
          <w:pgSz w:w="12240" w:h="18720" w:code="14"/>
          <w:pgMar w:top="1148" w:right="1134" w:bottom="1701" w:left="1701" w:header="567" w:footer="567" w:gutter="0"/>
          <w:paperSrc w:first="15"/>
          <w:pgNumType w:start="67"/>
          <w:cols w:space="720"/>
          <w:noEndnote/>
          <w:titlePg/>
          <w:docGrid w:linePitch="272"/>
        </w:sectPr>
      </w:pPr>
      <w:r w:rsidRPr="007D7653">
        <w:rPr>
          <w:rFonts w:ascii="Arial" w:hAnsi="Arial" w:cs="Arial"/>
          <w:sz w:val="18"/>
          <w:szCs w:val="18"/>
          <w:highlight w:val="yellow"/>
        </w:rPr>
        <w:br w:type="page"/>
      </w:r>
    </w:p>
    <w:tbl>
      <w:tblPr>
        <w:tblW w:w="9472" w:type="dxa"/>
        <w:tblInd w:w="65" w:type="dxa"/>
        <w:tblCellMar>
          <w:left w:w="70" w:type="dxa"/>
          <w:right w:w="70" w:type="dxa"/>
        </w:tblCellMar>
        <w:tblLook w:val="04A0" w:firstRow="1" w:lastRow="0" w:firstColumn="1" w:lastColumn="0" w:noHBand="0" w:noVBand="1"/>
      </w:tblPr>
      <w:tblGrid>
        <w:gridCol w:w="731"/>
        <w:gridCol w:w="1061"/>
        <w:gridCol w:w="5520"/>
        <w:gridCol w:w="2160"/>
      </w:tblGrid>
      <w:tr w:rsidR="000D4234" w:rsidRPr="007D7653" w:rsidTr="00CD6F78">
        <w:trPr>
          <w:trHeight w:val="227"/>
          <w:tblHeader/>
        </w:trPr>
        <w:tc>
          <w:tcPr>
            <w:tcW w:w="7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sz w:val="18"/>
                <w:szCs w:val="18"/>
              </w:rPr>
            </w:pPr>
            <w:r w:rsidRPr="007D7653">
              <w:rPr>
                <w:rFonts w:ascii="Arial" w:hAnsi="Arial" w:cs="Arial"/>
                <w:sz w:val="18"/>
                <w:szCs w:val="18"/>
              </w:rPr>
              <w:lastRenderedPageBreak/>
              <w:br w:type="page"/>
            </w:r>
            <w:r w:rsidRPr="007D7653">
              <w:rPr>
                <w:rFonts w:ascii="Arial" w:hAnsi="Arial" w:cs="Arial"/>
                <w:sz w:val="18"/>
                <w:szCs w:val="18"/>
              </w:rPr>
              <w:br w:type="page"/>
            </w:r>
            <w:r w:rsidRPr="007D7653">
              <w:rPr>
                <w:rFonts w:ascii="Arial" w:hAnsi="Arial" w:cs="Arial"/>
                <w:sz w:val="18"/>
                <w:szCs w:val="18"/>
              </w:rPr>
              <w:br w:type="page"/>
            </w:r>
            <w:r w:rsidRPr="007D7653">
              <w:rPr>
                <w:rFonts w:ascii="Arial" w:hAnsi="Arial" w:cs="Arial"/>
                <w:sz w:val="18"/>
                <w:szCs w:val="18"/>
              </w:rPr>
              <w:br w:type="page"/>
            </w:r>
            <w:r w:rsidRPr="007D7653">
              <w:rPr>
                <w:rFonts w:ascii="Arial" w:hAnsi="Arial" w:cs="Arial"/>
                <w:sz w:val="18"/>
                <w:szCs w:val="18"/>
              </w:rPr>
              <w:br w:type="page"/>
            </w:r>
            <w:r w:rsidRPr="007D7653">
              <w:rPr>
                <w:rFonts w:ascii="Arial" w:hAnsi="Arial" w:cs="Arial"/>
                <w:b/>
                <w:bCs/>
                <w:snapToGrid/>
                <w:color w:val="000000"/>
                <w:sz w:val="18"/>
                <w:szCs w:val="18"/>
                <w:lang w:val="es-CO" w:eastAsia="es-CO"/>
              </w:rPr>
              <w:t>Fuente</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Cuenta/</w:t>
            </w:r>
            <w:r w:rsidRPr="007D7653">
              <w:rPr>
                <w:rFonts w:ascii="Arial" w:hAnsi="Arial" w:cs="Arial"/>
                <w:b/>
                <w:bCs/>
                <w:snapToGrid/>
                <w:color w:val="000000"/>
                <w:sz w:val="18"/>
                <w:szCs w:val="18"/>
                <w:lang w:val="es-CO" w:eastAsia="es-CO"/>
              </w:rPr>
              <w:br/>
              <w:t>Subcuenta</w:t>
            </w:r>
          </w:p>
        </w:tc>
        <w:tc>
          <w:tcPr>
            <w:tcW w:w="552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Denominación</w:t>
            </w:r>
          </w:p>
        </w:tc>
        <w:tc>
          <w:tcPr>
            <w:tcW w:w="2160" w:type="dxa"/>
            <w:tcBorders>
              <w:top w:val="single" w:sz="4" w:space="0" w:color="auto"/>
              <w:left w:val="nil"/>
              <w:bottom w:val="single" w:sz="4" w:space="0" w:color="auto"/>
              <w:right w:val="single" w:sz="4" w:space="0" w:color="auto"/>
            </w:tcBorders>
            <w:shd w:val="clear" w:color="000000" w:fill="D9D9D9"/>
            <w:noWrap/>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Ponderación</w:t>
            </w:r>
          </w:p>
        </w:tc>
      </w:tr>
      <w:tr w:rsidR="000D4234" w:rsidRPr="007D7653" w:rsidTr="00CD6F78">
        <w:trPr>
          <w:trHeight w:val="535"/>
        </w:trPr>
        <w:tc>
          <w:tcPr>
            <w:tcW w:w="731" w:type="dxa"/>
            <w:tcBorders>
              <w:top w:val="nil"/>
              <w:left w:val="single" w:sz="4" w:space="0" w:color="auto"/>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p>
        </w:tc>
        <w:tc>
          <w:tcPr>
            <w:tcW w:w="1061"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p>
        </w:tc>
        <w:tc>
          <w:tcPr>
            <w:tcW w:w="5520" w:type="dxa"/>
            <w:tcBorders>
              <w:top w:val="nil"/>
              <w:left w:val="nil"/>
              <w:bottom w:val="single" w:sz="4" w:space="0" w:color="auto"/>
              <w:right w:val="single" w:sz="4" w:space="0" w:color="auto"/>
            </w:tcBorders>
            <w:shd w:val="clear" w:color="000000" w:fill="FFFFFF"/>
            <w:vAlign w:val="center"/>
            <w:hideMark/>
          </w:tcPr>
          <w:p w:rsidR="000D4234" w:rsidRPr="007D7653" w:rsidRDefault="000D4234" w:rsidP="00CD6F78">
            <w:pPr>
              <w:jc w:val="both"/>
              <w:rPr>
                <w:rFonts w:ascii="Arial" w:hAnsi="Arial" w:cs="Arial"/>
                <w:snapToGrid/>
                <w:color w:val="000000"/>
                <w:sz w:val="18"/>
                <w:szCs w:val="18"/>
                <w:lang w:val="es-CO" w:eastAsia="es-CO"/>
              </w:rPr>
            </w:pPr>
            <w:r w:rsidRPr="007D7653">
              <w:rPr>
                <w:rFonts w:ascii="Arial" w:hAnsi="Arial" w:cs="Arial"/>
                <w:snapToGrid/>
                <w:color w:val="000000"/>
                <w:sz w:val="18"/>
                <w:szCs w:val="18"/>
                <w:lang w:val="es-CO" w:eastAsia="es-CO"/>
              </w:rPr>
              <w:t>calificadora autorizada  por la SFC sea igual a: 5</w:t>
            </w:r>
          </w:p>
        </w:tc>
        <w:tc>
          <w:tcPr>
            <w:tcW w:w="2160" w:type="dxa"/>
            <w:tcBorders>
              <w:top w:val="nil"/>
              <w:left w:val="nil"/>
              <w:bottom w:val="single" w:sz="4" w:space="0" w:color="auto"/>
              <w:right w:val="single" w:sz="4" w:space="0" w:color="auto"/>
            </w:tcBorders>
            <w:shd w:val="clear" w:color="000000" w:fill="FFFFFF"/>
            <w:noWrap/>
            <w:vAlign w:val="center"/>
            <w:hideMark/>
          </w:tcPr>
          <w:p w:rsidR="000D4234" w:rsidRPr="007D7653" w:rsidRDefault="000D4234" w:rsidP="00CD6F78">
            <w:pPr>
              <w:jc w:val="center"/>
              <w:rPr>
                <w:rFonts w:ascii="Arial" w:hAnsi="Arial" w:cs="Arial"/>
                <w:snapToGrid/>
                <w:color w:val="000000"/>
                <w:sz w:val="18"/>
                <w:szCs w:val="18"/>
                <w:lang w:val="es-CO" w:eastAsia="es-CO"/>
              </w:rPr>
            </w:pPr>
          </w:p>
        </w:tc>
      </w:tr>
    </w:tbl>
    <w:p w:rsidR="000D4234" w:rsidRPr="007D7653" w:rsidRDefault="000D4234" w:rsidP="000D4234">
      <w:pPr>
        <w:jc w:val="both"/>
        <w:rPr>
          <w:rFonts w:ascii="Arial" w:hAnsi="Arial" w:cs="Arial"/>
          <w:sz w:val="18"/>
          <w:szCs w:val="18"/>
          <w:highlight w:val="yellow"/>
        </w:rPr>
      </w:pPr>
    </w:p>
    <w:p w:rsidR="000D4234" w:rsidRPr="007D7653" w:rsidRDefault="000D4234" w:rsidP="000D4234">
      <w:pPr>
        <w:pStyle w:val="Prrafodelista"/>
        <w:numPr>
          <w:ilvl w:val="2"/>
          <w:numId w:val="21"/>
        </w:numPr>
        <w:ind w:left="851" w:hanging="851"/>
        <w:jc w:val="both"/>
        <w:rPr>
          <w:rFonts w:ascii="Arial" w:hAnsi="Arial" w:cs="Arial"/>
          <w:b/>
          <w:sz w:val="18"/>
          <w:szCs w:val="18"/>
        </w:rPr>
      </w:pPr>
      <w:r w:rsidRPr="007D7653">
        <w:rPr>
          <w:rFonts w:ascii="Arial" w:hAnsi="Arial" w:cs="Arial"/>
          <w:b/>
          <w:sz w:val="18"/>
          <w:szCs w:val="18"/>
        </w:rPr>
        <w:t>Interés minoritario (se tiene en cuenta en el cálculo del PT únicamente a nivel consolidado)</w:t>
      </w:r>
    </w:p>
    <w:p w:rsidR="000D4234" w:rsidRPr="007D7653" w:rsidRDefault="000D4234" w:rsidP="000D4234">
      <w:pPr>
        <w:pStyle w:val="Prrafodelista"/>
        <w:jc w:val="both"/>
        <w:rPr>
          <w:rFonts w:ascii="Arial" w:hAnsi="Arial" w:cs="Arial"/>
          <w:b/>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Para efectos del cálculo del interés minoritario en el Patrimonio Técnico consolidado, se debe reconocer el valor de los instrumentos constitutivos del PT de la entidad consolidada, bruto de las deducciones al PBO, que no sean de propiedad, directa o indirecta, de la </w:t>
      </w:r>
      <w:proofErr w:type="spellStart"/>
      <w:r w:rsidRPr="007D7653">
        <w:rPr>
          <w:rFonts w:ascii="Arial" w:hAnsi="Arial" w:cs="Arial"/>
          <w:sz w:val="18"/>
          <w:szCs w:val="18"/>
        </w:rPr>
        <w:t>consolidante</w:t>
      </w:r>
      <w:proofErr w:type="spellEnd"/>
      <w:r w:rsidRPr="007D7653">
        <w:rPr>
          <w:rFonts w:ascii="Arial" w:hAnsi="Arial" w:cs="Arial"/>
          <w:sz w:val="18"/>
          <w:szCs w:val="18"/>
        </w:rPr>
        <w:t xml:space="preserve"> o de la(s) controlante(s) de ésta.</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Para el efecto, se entiende por inversión directa la participación accionaria de la cual es titular la matriz de la entidad financiera </w:t>
      </w:r>
      <w:proofErr w:type="spellStart"/>
      <w:r w:rsidRPr="007D7653">
        <w:rPr>
          <w:rFonts w:ascii="Arial" w:hAnsi="Arial" w:cs="Arial"/>
          <w:sz w:val="18"/>
          <w:szCs w:val="18"/>
        </w:rPr>
        <w:t>consolidante</w:t>
      </w:r>
      <w:proofErr w:type="spellEnd"/>
      <w:r w:rsidRPr="007D7653">
        <w:rPr>
          <w:rFonts w:ascii="Arial" w:hAnsi="Arial" w:cs="Arial"/>
          <w:sz w:val="18"/>
          <w:szCs w:val="18"/>
        </w:rPr>
        <w:t xml:space="preserve"> en el capital de las entidades subordinadas a la entidad financiera </w:t>
      </w:r>
      <w:proofErr w:type="spellStart"/>
      <w:r w:rsidRPr="007D7653">
        <w:rPr>
          <w:rFonts w:ascii="Arial" w:hAnsi="Arial" w:cs="Arial"/>
          <w:sz w:val="18"/>
          <w:szCs w:val="18"/>
        </w:rPr>
        <w:t>consolidante</w:t>
      </w:r>
      <w:proofErr w:type="spellEnd"/>
      <w:r w:rsidRPr="007D7653">
        <w:rPr>
          <w:rFonts w:ascii="Arial" w:hAnsi="Arial" w:cs="Arial"/>
          <w:sz w:val="18"/>
          <w:szCs w:val="18"/>
        </w:rPr>
        <w:t xml:space="preserve">. Por su parte, se considera inversión indirecta la participación accionaria que tiene la matriz de la entidad financiera </w:t>
      </w:r>
      <w:proofErr w:type="spellStart"/>
      <w:r w:rsidRPr="007D7653">
        <w:rPr>
          <w:rFonts w:ascii="Arial" w:hAnsi="Arial" w:cs="Arial"/>
          <w:sz w:val="18"/>
          <w:szCs w:val="18"/>
        </w:rPr>
        <w:t>consolidante</w:t>
      </w:r>
      <w:proofErr w:type="spellEnd"/>
      <w:r w:rsidRPr="007D7653">
        <w:rPr>
          <w:rFonts w:ascii="Arial" w:hAnsi="Arial" w:cs="Arial"/>
          <w:sz w:val="18"/>
          <w:szCs w:val="18"/>
        </w:rPr>
        <w:t xml:space="preserve"> en las entidades consolidadas a través de sus subordinadas. </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Solo se reconoce el exceso de capital sobre los mínimos regulatorios en aquellas entidades con estándares prudenciales iguales o superiores a los de los Establecimientos de Crédito en Colombia, que cumplan con los criterios de pertenencia al capital regulatorio definidos en el Capítulo 1 del Libro 1 de la Parte 2 del Decreto 2555 de 2010. </w:t>
      </w:r>
    </w:p>
    <w:p w:rsidR="000D4234" w:rsidRPr="007D7653" w:rsidRDefault="000D4234" w:rsidP="000D4234">
      <w:pPr>
        <w:jc w:val="both"/>
        <w:rPr>
          <w:rFonts w:ascii="Arial" w:hAnsi="Arial" w:cs="Arial"/>
          <w:sz w:val="18"/>
          <w:szCs w:val="18"/>
        </w:rPr>
      </w:pPr>
    </w:p>
    <w:p w:rsidR="000D4234" w:rsidRPr="007D7653" w:rsidRDefault="000D4234" w:rsidP="000D4234">
      <w:pPr>
        <w:pStyle w:val="Prrafodelista"/>
        <w:numPr>
          <w:ilvl w:val="3"/>
          <w:numId w:val="21"/>
        </w:numPr>
        <w:ind w:hanging="1080"/>
        <w:jc w:val="both"/>
        <w:rPr>
          <w:rFonts w:ascii="Arial" w:hAnsi="Arial" w:cs="Arial"/>
          <w:sz w:val="18"/>
          <w:szCs w:val="18"/>
        </w:rPr>
      </w:pPr>
      <w:r w:rsidRPr="007D7653">
        <w:rPr>
          <w:rFonts w:ascii="Arial" w:hAnsi="Arial" w:cs="Arial"/>
          <w:sz w:val="18"/>
          <w:szCs w:val="18"/>
        </w:rPr>
        <w:t xml:space="preserve">Se reconoce como interés minoritario en el PBO de la </w:t>
      </w:r>
      <w:proofErr w:type="spellStart"/>
      <w:r w:rsidRPr="007D7653">
        <w:rPr>
          <w:rFonts w:ascii="Arial" w:hAnsi="Arial" w:cs="Arial"/>
          <w:sz w:val="18"/>
          <w:szCs w:val="18"/>
        </w:rPr>
        <w:t>consolidante</w:t>
      </w:r>
      <w:proofErr w:type="spellEnd"/>
      <w:r w:rsidRPr="007D7653">
        <w:rPr>
          <w:rFonts w:ascii="Arial" w:hAnsi="Arial" w:cs="Arial"/>
          <w:sz w:val="18"/>
          <w:szCs w:val="18"/>
        </w:rPr>
        <w:t xml:space="preserve"> el valor de:</w:t>
      </w:r>
    </w:p>
    <w:p w:rsidR="000D4234" w:rsidRPr="007D7653" w:rsidRDefault="000D4234" w:rsidP="000D4234">
      <w:pPr>
        <w:tabs>
          <w:tab w:val="left" w:pos="2608"/>
        </w:tabs>
        <w:jc w:val="both"/>
        <w:rPr>
          <w:rFonts w:ascii="Arial" w:hAnsi="Arial" w:cs="Arial"/>
          <w:sz w:val="18"/>
          <w:szCs w:val="18"/>
        </w:rPr>
      </w:pPr>
      <w:r w:rsidRPr="007D7653">
        <w:rPr>
          <w:rFonts w:ascii="Arial" w:hAnsi="Arial" w:cs="Arial"/>
          <w:sz w:val="18"/>
          <w:szCs w:val="18"/>
        </w:rPr>
        <w:tab/>
      </w:r>
    </w:p>
    <w:p w:rsidR="000D4234" w:rsidRPr="007D7653" w:rsidRDefault="000D4234" w:rsidP="000D4234">
      <w:pPr>
        <w:pStyle w:val="Prrafodelista"/>
        <w:numPr>
          <w:ilvl w:val="0"/>
          <w:numId w:val="29"/>
        </w:numPr>
        <w:jc w:val="both"/>
        <w:rPr>
          <w:rFonts w:ascii="Arial" w:hAnsi="Arial" w:cs="Arial"/>
          <w:sz w:val="18"/>
          <w:szCs w:val="18"/>
        </w:rPr>
      </w:pPr>
      <w:r w:rsidRPr="007D7653">
        <w:rPr>
          <w:rFonts w:ascii="Arial" w:hAnsi="Arial" w:cs="Arial"/>
          <w:sz w:val="18"/>
          <w:szCs w:val="18"/>
        </w:rPr>
        <w:t xml:space="preserve">Las acciones de la entidad consolidada que no sean propiedad, directa o indirecta de la </w:t>
      </w:r>
      <w:proofErr w:type="spellStart"/>
      <w:r w:rsidRPr="007D7653">
        <w:rPr>
          <w:rFonts w:ascii="Arial" w:hAnsi="Arial" w:cs="Arial"/>
          <w:sz w:val="18"/>
          <w:szCs w:val="18"/>
        </w:rPr>
        <w:t>consolidante</w:t>
      </w:r>
      <w:proofErr w:type="spellEnd"/>
      <w:r w:rsidRPr="007D7653">
        <w:rPr>
          <w:rFonts w:ascii="Arial" w:hAnsi="Arial" w:cs="Arial"/>
          <w:sz w:val="18"/>
          <w:szCs w:val="18"/>
        </w:rPr>
        <w:t xml:space="preserve"> o controlante(s) de ésta que, de acuerdo con lo establecido en los artículos 2.1.1.1.6 y 2.1.1.1.10 del Decreto 2555 de 2010, se clasifiquen como PBO.</w:t>
      </w:r>
    </w:p>
    <w:p w:rsidR="000D4234" w:rsidRPr="007D7653" w:rsidRDefault="000D4234" w:rsidP="000D4234">
      <w:pPr>
        <w:pStyle w:val="Prrafodelista"/>
        <w:numPr>
          <w:ilvl w:val="0"/>
          <w:numId w:val="29"/>
        </w:numPr>
        <w:jc w:val="both"/>
        <w:rPr>
          <w:rFonts w:ascii="Arial" w:hAnsi="Arial" w:cs="Arial"/>
          <w:sz w:val="18"/>
          <w:szCs w:val="18"/>
        </w:rPr>
      </w:pPr>
      <w:r w:rsidRPr="007D7653">
        <w:rPr>
          <w:rFonts w:ascii="Arial" w:hAnsi="Arial" w:cs="Arial"/>
          <w:sz w:val="18"/>
          <w:szCs w:val="18"/>
        </w:rPr>
        <w:t xml:space="preserve">Los dividendos decretados en acciones a las que se refiere el anterior literal. </w:t>
      </w:r>
    </w:p>
    <w:p w:rsidR="000D4234" w:rsidRPr="007D7653" w:rsidRDefault="000D4234" w:rsidP="000D4234">
      <w:pPr>
        <w:pStyle w:val="Prrafodelista"/>
        <w:numPr>
          <w:ilvl w:val="0"/>
          <w:numId w:val="29"/>
        </w:numPr>
        <w:jc w:val="both"/>
        <w:rPr>
          <w:rFonts w:ascii="Arial" w:hAnsi="Arial" w:cs="Arial"/>
          <w:sz w:val="18"/>
          <w:szCs w:val="18"/>
        </w:rPr>
      </w:pPr>
      <w:r w:rsidRPr="007D7653">
        <w:rPr>
          <w:rFonts w:ascii="Arial" w:hAnsi="Arial" w:cs="Arial"/>
          <w:sz w:val="18"/>
          <w:szCs w:val="18"/>
        </w:rPr>
        <w:t>La parte de los demás rubros constitutivos del PBO de la entidad consolidada atribuible a minoritarios.</w:t>
      </w:r>
    </w:p>
    <w:p w:rsidR="000D4234" w:rsidRPr="007D7653" w:rsidRDefault="000D4234" w:rsidP="000D4234">
      <w:pPr>
        <w:jc w:val="both"/>
        <w:rPr>
          <w:rFonts w:ascii="Arial" w:hAnsi="Arial" w:cs="Arial"/>
          <w:sz w:val="18"/>
          <w:szCs w:val="18"/>
        </w:rPr>
      </w:pPr>
    </w:p>
    <w:p w:rsidR="000D4234" w:rsidRPr="007D7653" w:rsidRDefault="000D4234" w:rsidP="000D4234">
      <w:pPr>
        <w:pStyle w:val="Prrafodelista"/>
        <w:numPr>
          <w:ilvl w:val="3"/>
          <w:numId w:val="21"/>
        </w:numPr>
        <w:ind w:hanging="1080"/>
        <w:jc w:val="both"/>
        <w:rPr>
          <w:rFonts w:ascii="Arial" w:hAnsi="Arial" w:cs="Arial"/>
          <w:sz w:val="18"/>
          <w:szCs w:val="18"/>
        </w:rPr>
      </w:pPr>
      <w:r w:rsidRPr="007D7653">
        <w:rPr>
          <w:rFonts w:ascii="Arial" w:hAnsi="Arial" w:cs="Arial"/>
          <w:sz w:val="18"/>
          <w:szCs w:val="18"/>
        </w:rPr>
        <w:t xml:space="preserve">Se reconoce como interés minoritario en el PBA de la </w:t>
      </w:r>
      <w:proofErr w:type="spellStart"/>
      <w:r w:rsidRPr="007D7653">
        <w:rPr>
          <w:rFonts w:ascii="Arial" w:hAnsi="Arial" w:cs="Arial"/>
          <w:sz w:val="18"/>
          <w:szCs w:val="18"/>
        </w:rPr>
        <w:t>consolidante</w:t>
      </w:r>
      <w:proofErr w:type="spellEnd"/>
      <w:r w:rsidRPr="007D7653">
        <w:rPr>
          <w:rFonts w:ascii="Arial" w:hAnsi="Arial" w:cs="Arial"/>
          <w:sz w:val="18"/>
          <w:szCs w:val="18"/>
        </w:rPr>
        <w:t xml:space="preserve"> el valor correspondiente a:</w:t>
      </w:r>
    </w:p>
    <w:p w:rsidR="000D4234" w:rsidRPr="007D7653" w:rsidRDefault="000D4234" w:rsidP="000D4234">
      <w:pPr>
        <w:pStyle w:val="Prrafodelista"/>
        <w:ind w:left="1080"/>
        <w:jc w:val="both"/>
        <w:rPr>
          <w:rFonts w:ascii="Arial" w:hAnsi="Arial" w:cs="Arial"/>
          <w:sz w:val="18"/>
          <w:szCs w:val="18"/>
        </w:rPr>
      </w:pPr>
    </w:p>
    <w:p w:rsidR="000D4234" w:rsidRPr="007D7653" w:rsidRDefault="000D4234" w:rsidP="000D4234">
      <w:pPr>
        <w:pStyle w:val="Prrafodelista"/>
        <w:numPr>
          <w:ilvl w:val="0"/>
          <w:numId w:val="30"/>
        </w:numPr>
        <w:jc w:val="both"/>
        <w:rPr>
          <w:rFonts w:ascii="Arial" w:hAnsi="Arial" w:cs="Arial"/>
          <w:sz w:val="18"/>
          <w:szCs w:val="18"/>
        </w:rPr>
      </w:pPr>
      <w:r w:rsidRPr="007D7653">
        <w:rPr>
          <w:rFonts w:ascii="Arial" w:hAnsi="Arial" w:cs="Arial"/>
          <w:sz w:val="18"/>
          <w:szCs w:val="18"/>
        </w:rPr>
        <w:t xml:space="preserve">Las acciones de la entidad consolidada que no sean propiedad, directa o indirecta de la </w:t>
      </w:r>
      <w:proofErr w:type="spellStart"/>
      <w:r w:rsidRPr="007D7653">
        <w:rPr>
          <w:rFonts w:ascii="Arial" w:hAnsi="Arial" w:cs="Arial"/>
          <w:sz w:val="18"/>
          <w:szCs w:val="18"/>
        </w:rPr>
        <w:t>consolidante</w:t>
      </w:r>
      <w:proofErr w:type="spellEnd"/>
      <w:r w:rsidRPr="007D7653">
        <w:rPr>
          <w:rFonts w:ascii="Arial" w:hAnsi="Arial" w:cs="Arial"/>
          <w:sz w:val="18"/>
          <w:szCs w:val="18"/>
        </w:rPr>
        <w:t xml:space="preserve"> o controlante(s) de ésta que, de acuerdo con lo establecido en los artículos 2.1.1.1.6 y 2.1.1.1.12 del Decreto 2555 de 2010, se clasifiquen como PBA. </w:t>
      </w:r>
    </w:p>
    <w:p w:rsidR="000D4234" w:rsidRPr="007D7653" w:rsidRDefault="000D4234" w:rsidP="000D4234">
      <w:pPr>
        <w:pStyle w:val="Prrafodelista"/>
        <w:numPr>
          <w:ilvl w:val="0"/>
          <w:numId w:val="30"/>
        </w:numPr>
        <w:jc w:val="both"/>
        <w:rPr>
          <w:rFonts w:ascii="Arial" w:hAnsi="Arial" w:cs="Arial"/>
          <w:sz w:val="18"/>
          <w:szCs w:val="18"/>
        </w:rPr>
      </w:pPr>
      <w:r w:rsidRPr="007D7653">
        <w:rPr>
          <w:rFonts w:ascii="Arial" w:hAnsi="Arial" w:cs="Arial"/>
          <w:sz w:val="18"/>
          <w:szCs w:val="18"/>
        </w:rPr>
        <w:t xml:space="preserve">El valor de los dividendos decretados en acciones a las que se refiere el anterior literal. </w:t>
      </w:r>
    </w:p>
    <w:p w:rsidR="000D4234" w:rsidRPr="007D7653" w:rsidRDefault="000D4234" w:rsidP="000D4234">
      <w:pPr>
        <w:pStyle w:val="Prrafodelista"/>
        <w:numPr>
          <w:ilvl w:val="0"/>
          <w:numId w:val="30"/>
        </w:numPr>
        <w:jc w:val="both"/>
        <w:rPr>
          <w:rFonts w:ascii="Arial" w:hAnsi="Arial" w:cs="Arial"/>
          <w:sz w:val="18"/>
          <w:szCs w:val="18"/>
        </w:rPr>
      </w:pPr>
      <w:r w:rsidRPr="007D7653">
        <w:rPr>
          <w:rFonts w:ascii="Arial" w:hAnsi="Arial" w:cs="Arial"/>
          <w:sz w:val="18"/>
          <w:szCs w:val="18"/>
        </w:rPr>
        <w:t>La parte de los demás rubros constitutivos del PBA de la entidad consolidada atribuible a minoritarios.</w:t>
      </w:r>
    </w:p>
    <w:p w:rsidR="000D4234" w:rsidRPr="007D7653" w:rsidRDefault="000D4234" w:rsidP="000D4234">
      <w:pPr>
        <w:jc w:val="both"/>
        <w:rPr>
          <w:rFonts w:ascii="Arial" w:hAnsi="Arial" w:cs="Arial"/>
          <w:sz w:val="18"/>
          <w:szCs w:val="18"/>
        </w:rPr>
      </w:pPr>
    </w:p>
    <w:p w:rsidR="000D4234" w:rsidRPr="007D7653" w:rsidRDefault="000D4234" w:rsidP="000D4234">
      <w:pPr>
        <w:pStyle w:val="Prrafodelista"/>
        <w:numPr>
          <w:ilvl w:val="3"/>
          <w:numId w:val="21"/>
        </w:numPr>
        <w:ind w:hanging="1080"/>
        <w:jc w:val="both"/>
        <w:rPr>
          <w:rFonts w:ascii="Arial" w:hAnsi="Arial" w:cs="Arial"/>
          <w:sz w:val="18"/>
          <w:szCs w:val="18"/>
        </w:rPr>
      </w:pPr>
      <w:r w:rsidRPr="007D7653">
        <w:rPr>
          <w:rFonts w:ascii="Arial" w:hAnsi="Arial" w:cs="Arial"/>
          <w:sz w:val="18"/>
          <w:szCs w:val="18"/>
        </w:rPr>
        <w:t xml:space="preserve">Se reconoce como interés minoritario en el PA de la </w:t>
      </w:r>
      <w:proofErr w:type="spellStart"/>
      <w:r w:rsidRPr="007D7653">
        <w:rPr>
          <w:rFonts w:ascii="Arial" w:hAnsi="Arial" w:cs="Arial"/>
          <w:sz w:val="18"/>
          <w:szCs w:val="18"/>
        </w:rPr>
        <w:t>consolidante</w:t>
      </w:r>
      <w:proofErr w:type="spellEnd"/>
      <w:r w:rsidRPr="007D7653">
        <w:rPr>
          <w:rFonts w:ascii="Arial" w:hAnsi="Arial" w:cs="Arial"/>
          <w:sz w:val="18"/>
          <w:szCs w:val="18"/>
        </w:rPr>
        <w:t xml:space="preserve"> el valor correspondiente a la parte de los demás rubros constitutivos del PA de la entidad consolidada atribuible a minoritarios.</w:t>
      </w:r>
    </w:p>
    <w:p w:rsidR="000D4234" w:rsidRPr="007D7653" w:rsidRDefault="000D4234" w:rsidP="000D4234">
      <w:pPr>
        <w:jc w:val="both"/>
        <w:rPr>
          <w:rFonts w:ascii="Arial" w:hAnsi="Arial" w:cs="Arial"/>
          <w:b/>
          <w:sz w:val="18"/>
          <w:szCs w:val="18"/>
        </w:rPr>
      </w:pPr>
    </w:p>
    <w:p w:rsidR="000D4234" w:rsidRPr="007D7653" w:rsidRDefault="000D4234" w:rsidP="000D4234">
      <w:pPr>
        <w:pStyle w:val="Prrafodelista"/>
        <w:numPr>
          <w:ilvl w:val="1"/>
          <w:numId w:val="21"/>
        </w:numPr>
        <w:ind w:left="851" w:hanging="851"/>
        <w:jc w:val="both"/>
        <w:outlineLvl w:val="2"/>
        <w:rPr>
          <w:rFonts w:ascii="Arial" w:hAnsi="Arial" w:cs="Arial"/>
          <w:b/>
          <w:sz w:val="18"/>
          <w:szCs w:val="18"/>
        </w:rPr>
      </w:pPr>
      <w:bookmarkStart w:id="5" w:name="_Toc354995213"/>
      <w:r w:rsidRPr="007D7653">
        <w:rPr>
          <w:rFonts w:ascii="Arial" w:hAnsi="Arial" w:cs="Arial"/>
          <w:b/>
          <w:sz w:val="18"/>
          <w:szCs w:val="18"/>
        </w:rPr>
        <w:t>Activos Ponderados por Nivel de Riesgo (APNR)</w:t>
      </w:r>
      <w:bookmarkEnd w:id="5"/>
    </w:p>
    <w:p w:rsidR="000D4234" w:rsidRPr="007D7653" w:rsidRDefault="000D4234" w:rsidP="000D4234">
      <w:pPr>
        <w:jc w:val="both"/>
        <w:rPr>
          <w:rFonts w:ascii="Arial" w:hAnsi="Arial" w:cs="Arial"/>
          <w:b/>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 xml:space="preserve">A continuación se presenta la clasificación y ponderación por riesgo crediticio de los activos, contingencias y negocios y encargos fiduciarios, tanto en moneda nacional como extranjera, que computan en los APNR. </w:t>
      </w:r>
    </w:p>
    <w:p w:rsidR="000D4234" w:rsidRPr="007D7653" w:rsidRDefault="000D4234" w:rsidP="000D4234">
      <w:pPr>
        <w:jc w:val="both"/>
        <w:rPr>
          <w:rFonts w:ascii="Arial" w:hAnsi="Arial" w:cs="Arial"/>
          <w:sz w:val="18"/>
          <w:szCs w:val="18"/>
        </w:rPr>
      </w:pPr>
    </w:p>
    <w:p w:rsidR="000D4234" w:rsidRPr="007D7653" w:rsidRDefault="000D4234" w:rsidP="000D4234">
      <w:pPr>
        <w:pBdr>
          <w:left w:val="single" w:sz="4" w:space="4" w:color="auto"/>
        </w:pBdr>
        <w:jc w:val="both"/>
        <w:rPr>
          <w:rFonts w:ascii="Arial" w:hAnsi="Arial" w:cs="Arial"/>
          <w:sz w:val="18"/>
          <w:szCs w:val="18"/>
        </w:rPr>
      </w:pPr>
      <w:r w:rsidRPr="007D7653">
        <w:rPr>
          <w:rFonts w:ascii="Arial" w:hAnsi="Arial" w:cs="Arial"/>
          <w:sz w:val="18"/>
          <w:szCs w:val="18"/>
        </w:rPr>
        <w:t xml:space="preserve">Para el </w:t>
      </w:r>
      <w:r w:rsidRPr="007D7653">
        <w:rPr>
          <w:rFonts w:ascii="Arial" w:hAnsi="Arial" w:cs="Arial"/>
          <w:b/>
          <w:sz w:val="18"/>
          <w:szCs w:val="18"/>
        </w:rPr>
        <w:t>cálculo</w:t>
      </w:r>
      <w:r w:rsidRPr="007D7653">
        <w:rPr>
          <w:rFonts w:ascii="Arial" w:hAnsi="Arial" w:cs="Arial"/>
          <w:sz w:val="18"/>
          <w:szCs w:val="18"/>
        </w:rPr>
        <w:t xml:space="preserve"> de los activos en los APNR se debe tener en cuenta lo siguiente:</w:t>
      </w:r>
    </w:p>
    <w:p w:rsidR="000D4234" w:rsidRPr="007D7653" w:rsidRDefault="000D4234" w:rsidP="000D4234">
      <w:pPr>
        <w:jc w:val="both"/>
        <w:rPr>
          <w:rFonts w:ascii="Arial" w:hAnsi="Arial" w:cs="Arial"/>
          <w:sz w:val="18"/>
          <w:szCs w:val="18"/>
        </w:rPr>
      </w:pPr>
    </w:p>
    <w:p w:rsidR="000D4234" w:rsidRPr="007D7653" w:rsidRDefault="000D4234" w:rsidP="000D4234">
      <w:pPr>
        <w:pStyle w:val="Prrafodelista"/>
        <w:numPr>
          <w:ilvl w:val="0"/>
          <w:numId w:val="4"/>
        </w:numPr>
        <w:jc w:val="both"/>
        <w:rPr>
          <w:rFonts w:ascii="Arial" w:hAnsi="Arial" w:cs="Arial"/>
          <w:sz w:val="18"/>
          <w:szCs w:val="18"/>
        </w:rPr>
      </w:pPr>
      <w:r w:rsidRPr="007D7653">
        <w:rPr>
          <w:rFonts w:ascii="Arial" w:hAnsi="Arial" w:cs="Arial"/>
          <w:sz w:val="18"/>
          <w:szCs w:val="18"/>
        </w:rPr>
        <w:t>Los activos deben ser valorados por su precio justo de intercambio.</w:t>
      </w:r>
    </w:p>
    <w:p w:rsidR="000D4234" w:rsidRPr="007D7653" w:rsidRDefault="000D4234" w:rsidP="000D4234">
      <w:pPr>
        <w:pStyle w:val="Prrafodelista"/>
        <w:numPr>
          <w:ilvl w:val="0"/>
          <w:numId w:val="4"/>
        </w:numPr>
        <w:jc w:val="both"/>
        <w:rPr>
          <w:rFonts w:ascii="Arial" w:hAnsi="Arial" w:cs="Arial"/>
          <w:sz w:val="18"/>
          <w:szCs w:val="18"/>
        </w:rPr>
      </w:pPr>
      <w:r w:rsidRPr="007D7653">
        <w:rPr>
          <w:rFonts w:ascii="Arial" w:hAnsi="Arial" w:cs="Arial"/>
          <w:sz w:val="18"/>
          <w:szCs w:val="18"/>
        </w:rPr>
        <w:t>No se deben deducir las provisiones de carácter general (subcuentas 149800 y 189956 del PUC).</w:t>
      </w:r>
    </w:p>
    <w:p w:rsidR="000D4234" w:rsidRPr="007D7653" w:rsidRDefault="000D4234" w:rsidP="000D4234">
      <w:pPr>
        <w:pStyle w:val="Prrafodelista"/>
        <w:numPr>
          <w:ilvl w:val="0"/>
          <w:numId w:val="4"/>
        </w:numPr>
        <w:jc w:val="both"/>
        <w:rPr>
          <w:rFonts w:ascii="Arial" w:hAnsi="Arial" w:cs="Arial"/>
          <w:sz w:val="18"/>
          <w:szCs w:val="18"/>
        </w:rPr>
      </w:pPr>
      <w:r w:rsidRPr="007D7653">
        <w:rPr>
          <w:rFonts w:ascii="Arial" w:hAnsi="Arial" w:cs="Arial"/>
          <w:sz w:val="18"/>
          <w:szCs w:val="18"/>
        </w:rPr>
        <w:t xml:space="preserve">Las inversiones de capital y en bonos convertibles en acciones de entidades financieras del exterior o de entidades sometidas a la vigilancia de la SFC se computan sin deducir las provisiones efectuadas sobre las mismas. </w:t>
      </w:r>
    </w:p>
    <w:p w:rsidR="000D4234" w:rsidRPr="007D7653" w:rsidRDefault="000D4234" w:rsidP="000D4234">
      <w:pPr>
        <w:pStyle w:val="Prrafodelista"/>
        <w:numPr>
          <w:ilvl w:val="0"/>
          <w:numId w:val="4"/>
        </w:numPr>
        <w:jc w:val="both"/>
        <w:rPr>
          <w:rFonts w:ascii="Arial" w:hAnsi="Arial" w:cs="Arial"/>
          <w:b/>
          <w:sz w:val="18"/>
          <w:szCs w:val="18"/>
        </w:rPr>
      </w:pPr>
      <w:r w:rsidRPr="007D7653">
        <w:rPr>
          <w:rFonts w:ascii="Arial" w:hAnsi="Arial" w:cs="Arial"/>
          <w:b/>
          <w:noProof/>
          <w:snapToGrid/>
          <w:sz w:val="18"/>
          <w:szCs w:val="18"/>
          <w:lang w:val="es-CO" w:eastAsia="es-CO"/>
        </w:rPr>
        <mc:AlternateContent>
          <mc:Choice Requires="wps">
            <w:drawing>
              <wp:anchor distT="0" distB="0" distL="114300" distR="114300" simplePos="0" relativeHeight="251743232" behindDoc="0" locked="0" layoutInCell="1" allowOverlap="1" wp14:anchorId="2E0DF9A5" wp14:editId="692EFED0">
                <wp:simplePos x="0" y="0"/>
                <wp:positionH relativeFrom="column">
                  <wp:posOffset>-80010</wp:posOffset>
                </wp:positionH>
                <wp:positionV relativeFrom="paragraph">
                  <wp:posOffset>37465</wp:posOffset>
                </wp:positionV>
                <wp:extent cx="0" cy="2343150"/>
                <wp:effectExtent l="9525" t="9525" r="9525" b="9525"/>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3pt;margin-top:2.95pt;width:0;height:18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"/>
            </w:pict>
          </mc:Fallback>
        </mc:AlternateContent>
      </w:r>
      <w:r w:rsidRPr="007D7653">
        <w:rPr>
          <w:rFonts w:ascii="Arial" w:hAnsi="Arial" w:cs="Arial"/>
          <w:b/>
          <w:sz w:val="18"/>
          <w:szCs w:val="18"/>
        </w:rPr>
        <w:t>La cuenta PUC 192040 solo se deduce de los APNR que ponderan al 100% cuando dicha cuenta sea mayor a la cuenta PUC 2755.</w:t>
      </w:r>
    </w:p>
    <w:p w:rsidR="000D4234" w:rsidRPr="007D7653" w:rsidRDefault="000D4234" w:rsidP="000D4234">
      <w:pPr>
        <w:pStyle w:val="Prrafodelista"/>
        <w:numPr>
          <w:ilvl w:val="0"/>
          <w:numId w:val="4"/>
        </w:numPr>
        <w:jc w:val="both"/>
        <w:rPr>
          <w:rFonts w:ascii="Arial" w:hAnsi="Arial" w:cs="Arial"/>
          <w:b/>
          <w:sz w:val="18"/>
          <w:szCs w:val="18"/>
        </w:rPr>
      </w:pPr>
      <w:r w:rsidRPr="007D7653">
        <w:rPr>
          <w:rFonts w:ascii="Arial" w:hAnsi="Arial" w:cs="Arial"/>
          <w:b/>
          <w:sz w:val="18"/>
          <w:szCs w:val="18"/>
        </w:rPr>
        <w:t>En caso de existir saldos negativos en las subcuentas de la cuenta 1904 del PUC Financiero, esto es, los que sean contrarios a la naturaleza de la cuenta (crédito), no se deducen del total de APNR.</w:t>
      </w:r>
    </w:p>
    <w:p w:rsidR="000D4234" w:rsidRPr="007D7653" w:rsidRDefault="000D4234" w:rsidP="000D4234">
      <w:pPr>
        <w:pStyle w:val="Prrafodelista"/>
        <w:numPr>
          <w:ilvl w:val="0"/>
          <w:numId w:val="4"/>
        </w:numPr>
        <w:jc w:val="both"/>
        <w:rPr>
          <w:rFonts w:ascii="Arial" w:hAnsi="Arial" w:cs="Arial"/>
          <w:b/>
          <w:sz w:val="18"/>
          <w:szCs w:val="18"/>
        </w:rPr>
      </w:pPr>
      <w:r w:rsidRPr="007D7653">
        <w:rPr>
          <w:rFonts w:ascii="Arial" w:hAnsi="Arial" w:cs="Arial"/>
          <w:b/>
          <w:sz w:val="18"/>
          <w:szCs w:val="18"/>
        </w:rPr>
        <w:t>La clasificación de los derechos fiduciarios en procesos de titularización se deben realizar conforme lo establece el literal e) del artículo 2.1.1.3.4 del Decreto 2555 de 2010.</w:t>
      </w:r>
    </w:p>
    <w:p w:rsidR="000D4234" w:rsidRPr="007D7653" w:rsidRDefault="000D4234" w:rsidP="000D4234">
      <w:pPr>
        <w:pStyle w:val="Prrafodelista"/>
        <w:numPr>
          <w:ilvl w:val="0"/>
          <w:numId w:val="4"/>
        </w:numPr>
        <w:jc w:val="both"/>
        <w:rPr>
          <w:rFonts w:ascii="Arial" w:hAnsi="Arial" w:cs="Arial"/>
          <w:b/>
          <w:sz w:val="18"/>
          <w:szCs w:val="18"/>
        </w:rPr>
      </w:pPr>
      <w:r w:rsidRPr="007D7653">
        <w:rPr>
          <w:rFonts w:ascii="Arial" w:hAnsi="Arial" w:cs="Arial"/>
          <w:b/>
          <w:sz w:val="18"/>
          <w:szCs w:val="18"/>
        </w:rPr>
        <w:t>Las inversiones de capital realizadas por los Establecimientos de Crédito en otra institución financiera para adelantar un proceso de adquisición ponderan como activo de riesgo, durante un plazo no mayor a seis (6) meses contados a partir de la primera transacción, cuando la adquisición se efectúe en varias operaciones simultáneas o sucesivas, mientras se adquiere la totalidad de las acciones o se fusiona con la entidad receptora de la inversión. Si vencido dicho término no se adquiere la totalidad de las acciones ni se logra perfeccionar la fusión, la inversión correspondiente continuará computando dentro de los seis (6) meses siguientes mientras se procede a enajenar las acciones adquiridas, salvo que el valor total de los activos de las entidades que intervienen en el proceso de adquisición y/o fusión sea o exceda un millón de salarios mínimos mensuales, en cuyo caso el computo correspondiente se efectuará durante el año siguiente al vencimiento del término para la adquisición o fusión anteriormente citada.</w:t>
      </w:r>
    </w:p>
    <w:p w:rsidR="000D4234" w:rsidRPr="007D7653" w:rsidRDefault="000D4234" w:rsidP="000D4234">
      <w:pPr>
        <w:pStyle w:val="Prrafodelista"/>
        <w:ind w:left="851"/>
        <w:jc w:val="both"/>
        <w:rPr>
          <w:rFonts w:ascii="Arial" w:hAnsi="Arial" w:cs="Arial"/>
          <w:b/>
          <w:sz w:val="18"/>
          <w:szCs w:val="18"/>
          <w:highlight w:val="yellow"/>
        </w:rPr>
        <w:sectPr w:rsidR="000D4234" w:rsidRPr="007D7653" w:rsidSect="007612C8">
          <w:headerReference w:type="default" r:id="rId24"/>
          <w:footerReference w:type="default" r:id="rId25"/>
          <w:pgSz w:w="12240" w:h="18720" w:code="14"/>
          <w:pgMar w:top="1148" w:right="1134" w:bottom="1701" w:left="1701" w:header="567" w:footer="567" w:gutter="0"/>
          <w:paperSrc w:first="15"/>
          <w:pgNumType w:start="64"/>
          <w:cols w:space="720"/>
          <w:noEndnote/>
          <w:docGrid w:linePitch="272"/>
        </w:sectPr>
      </w:pPr>
    </w:p>
    <w:p w:rsidR="000D4234" w:rsidRPr="007D7653" w:rsidRDefault="000D4234" w:rsidP="000D4234">
      <w:pPr>
        <w:jc w:val="both"/>
        <w:rPr>
          <w:rFonts w:ascii="Arial" w:hAnsi="Arial" w:cs="Arial"/>
          <w:sz w:val="18"/>
          <w:szCs w:val="18"/>
          <w:highlight w:val="yellow"/>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Los APNR resultan de la sumatoria de cada uno de los rubros que se presentan en los cuadros siguientes, multiplicados cada uno de ellos por la ponderación correspondiente.</w:t>
      </w:r>
    </w:p>
    <w:p w:rsidR="000D4234" w:rsidRPr="007D7653" w:rsidRDefault="000D4234" w:rsidP="000D4234">
      <w:pPr>
        <w:rPr>
          <w:rFonts w:ascii="Arial" w:hAnsi="Arial" w:cs="Arial"/>
          <w:sz w:val="18"/>
          <w:szCs w:val="18"/>
        </w:rPr>
      </w:pPr>
    </w:p>
    <w:p w:rsidR="000D4234" w:rsidRPr="007D7653" w:rsidRDefault="000D4234" w:rsidP="000D4234">
      <w:pPr>
        <w:rPr>
          <w:rFonts w:ascii="Arial" w:hAnsi="Arial" w:cs="Arial"/>
          <w:sz w:val="18"/>
          <w:szCs w:val="18"/>
        </w:rPr>
      </w:pPr>
      <m:oMathPara>
        <m:oMath>
          <m:r>
            <w:rPr>
              <w:rFonts w:ascii="Cambria Math" w:hAnsi="Cambria Math" w:cs="Arial"/>
              <w:sz w:val="18"/>
              <w:szCs w:val="18"/>
            </w:rPr>
            <m:t>APNR=</m:t>
          </m:r>
          <m:nary>
            <m:naryPr>
              <m:chr m:val="∑"/>
              <m:limLoc m:val="undOvr"/>
              <m:ctrlPr>
                <w:rPr>
                  <w:rFonts w:ascii="Cambria Math" w:hAnsi="Cambria Math" w:cs="Arial"/>
                  <w:i/>
                  <w:sz w:val="18"/>
                  <w:szCs w:val="18"/>
                </w:rPr>
              </m:ctrlPr>
            </m:naryPr>
            <m:sub>
              <m:r>
                <w:rPr>
                  <w:rFonts w:ascii="Cambria Math" w:hAnsi="Cambria Math" w:cs="Arial"/>
                  <w:sz w:val="18"/>
                  <w:szCs w:val="18"/>
                </w:rPr>
                <m:t>i</m:t>
              </m:r>
            </m:sub>
            <m:sup>
              <m:r>
                <w:rPr>
                  <w:rFonts w:ascii="Cambria Math" w:hAnsi="Cambria Math" w:cs="Arial"/>
                  <w:sz w:val="18"/>
                  <w:szCs w:val="18"/>
                </w:rPr>
                <m:t>n</m:t>
              </m:r>
            </m:sup>
            <m:e>
              <m:sSub>
                <m:sSubPr>
                  <m:ctrlPr>
                    <w:rPr>
                      <w:rFonts w:ascii="Cambria Math" w:hAnsi="Cambria Math" w:cs="Arial"/>
                      <w:i/>
                      <w:sz w:val="18"/>
                      <w:szCs w:val="18"/>
                    </w:rPr>
                  </m:ctrlPr>
                </m:sSubPr>
                <m:e>
                  <m:r>
                    <w:rPr>
                      <w:rFonts w:ascii="Cambria Math" w:hAnsi="Cambria Math" w:cs="Arial"/>
                      <w:sz w:val="18"/>
                      <w:szCs w:val="18"/>
                    </w:rPr>
                    <m:t>activo</m:t>
                  </m:r>
                </m:e>
                <m:sub>
                  <m:r>
                    <w:rPr>
                      <w:rFonts w:ascii="Cambria Math" w:hAnsi="Cambria Math" w:cs="Arial"/>
                      <w:sz w:val="18"/>
                      <w:szCs w:val="18"/>
                    </w:rPr>
                    <m:t>i</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ponderación</m:t>
                  </m:r>
                </m:e>
                <m:sub>
                  <m:r>
                    <w:rPr>
                      <w:rFonts w:ascii="Cambria Math" w:hAnsi="Cambria Math" w:cs="Arial"/>
                      <w:sz w:val="18"/>
                      <w:szCs w:val="18"/>
                    </w:rPr>
                    <m:t>i</m:t>
                  </m:r>
                </m:sub>
              </m:sSub>
            </m:e>
          </m:nary>
        </m:oMath>
      </m:oMathPara>
    </w:p>
    <w:p w:rsidR="000D4234" w:rsidRPr="007D7653" w:rsidRDefault="000D4234" w:rsidP="000D4234">
      <w:pPr>
        <w:rPr>
          <w:rFonts w:ascii="Arial" w:hAnsi="Arial" w:cs="Arial"/>
          <w:color w:val="000000"/>
          <w:sz w:val="18"/>
          <w:szCs w:val="18"/>
          <w:lang w:val="es-CO" w:eastAsia="es-CO"/>
        </w:rPr>
      </w:pPr>
    </w:p>
    <w:p w:rsidR="000D4234" w:rsidRPr="007D7653" w:rsidRDefault="000D4234" w:rsidP="000D4234">
      <w:pPr>
        <w:spacing w:line="240" w:lineRule="atLeast"/>
        <w:jc w:val="both"/>
        <w:rPr>
          <w:rFonts w:ascii="Arial" w:hAnsi="Arial" w:cs="Arial"/>
          <w:sz w:val="18"/>
          <w:szCs w:val="18"/>
        </w:rPr>
      </w:pPr>
      <w:r w:rsidRPr="007D7653">
        <w:rPr>
          <w:rFonts w:ascii="Arial" w:hAnsi="Arial" w:cs="Arial"/>
          <w:sz w:val="18"/>
          <w:szCs w:val="18"/>
        </w:rPr>
        <w:t>Los rubros que suman están precedidas de un signo más (+), mientras que las que restan se anteceden de un signo menos (-).</w:t>
      </w:r>
    </w:p>
    <w:p w:rsidR="000D4234" w:rsidRPr="007D7653" w:rsidRDefault="000D4234" w:rsidP="000D4234">
      <w:pPr>
        <w:jc w:val="both"/>
        <w:rPr>
          <w:rFonts w:ascii="Arial" w:hAnsi="Arial" w:cs="Arial"/>
          <w:sz w:val="18"/>
          <w:szCs w:val="18"/>
        </w:rPr>
      </w:pPr>
    </w:p>
    <w:p w:rsidR="000D4234" w:rsidRPr="007D7653" w:rsidRDefault="000D4234" w:rsidP="000D4234">
      <w:pPr>
        <w:jc w:val="both"/>
        <w:rPr>
          <w:rFonts w:ascii="Arial" w:hAnsi="Arial" w:cs="Arial"/>
          <w:sz w:val="18"/>
          <w:szCs w:val="18"/>
        </w:rPr>
      </w:pPr>
      <w:r w:rsidRPr="007D7653">
        <w:rPr>
          <w:rFonts w:ascii="Arial" w:hAnsi="Arial" w:cs="Arial"/>
          <w:sz w:val="18"/>
          <w:szCs w:val="18"/>
        </w:rPr>
        <w:t>Los activos se clasifican y se ponderan por riesgo crediticio de acuerdo con su naturaleza de la siguiente manera:</w:t>
      </w:r>
    </w:p>
    <w:p w:rsidR="000D4234" w:rsidRPr="007D7653" w:rsidRDefault="000D4234" w:rsidP="000D4234">
      <w:pPr>
        <w:rPr>
          <w:rFonts w:ascii="Arial" w:hAnsi="Arial" w:cs="Arial"/>
          <w:color w:val="000000"/>
          <w:sz w:val="18"/>
          <w:szCs w:val="18"/>
          <w:lang w:eastAsia="es-CO"/>
        </w:rPr>
      </w:pPr>
    </w:p>
    <w:p w:rsidR="000D4234" w:rsidRPr="007D7653" w:rsidRDefault="000D4234" w:rsidP="000D4234">
      <w:pPr>
        <w:pStyle w:val="Prrafodelista"/>
        <w:numPr>
          <w:ilvl w:val="2"/>
          <w:numId w:val="21"/>
        </w:numPr>
        <w:ind w:left="851" w:hanging="851"/>
        <w:jc w:val="both"/>
        <w:rPr>
          <w:rFonts w:ascii="Arial" w:hAnsi="Arial" w:cs="Arial"/>
          <w:b/>
          <w:sz w:val="18"/>
          <w:szCs w:val="18"/>
        </w:rPr>
      </w:pPr>
      <w:r w:rsidRPr="007D7653">
        <w:rPr>
          <w:rFonts w:ascii="Arial" w:hAnsi="Arial" w:cs="Arial"/>
          <w:b/>
          <w:sz w:val="18"/>
          <w:szCs w:val="18"/>
        </w:rPr>
        <w:t>Activos que ponderan por riesgo crediticio al cero por ciento (0%):</w:t>
      </w:r>
    </w:p>
    <w:p w:rsidR="000D4234" w:rsidRPr="007D7653" w:rsidRDefault="000D4234" w:rsidP="000D4234">
      <w:pPr>
        <w:jc w:val="both"/>
        <w:rPr>
          <w:rFonts w:ascii="Arial" w:hAnsi="Arial" w:cs="Arial"/>
          <w:sz w:val="18"/>
          <w:szCs w:val="18"/>
        </w:rPr>
      </w:pPr>
    </w:p>
    <w:tbl>
      <w:tblPr>
        <w:tblW w:w="9360" w:type="dxa"/>
        <w:tblInd w:w="65" w:type="dxa"/>
        <w:tblCellMar>
          <w:left w:w="70" w:type="dxa"/>
          <w:right w:w="70" w:type="dxa"/>
        </w:tblCellMar>
        <w:tblLook w:val="04A0" w:firstRow="1" w:lastRow="0" w:firstColumn="1" w:lastColumn="0" w:noHBand="0" w:noVBand="1"/>
      </w:tblPr>
      <w:tblGrid>
        <w:gridCol w:w="821"/>
        <w:gridCol w:w="1061"/>
        <w:gridCol w:w="7478"/>
      </w:tblGrid>
      <w:tr w:rsidR="000D4234" w:rsidRPr="007D7653" w:rsidTr="00CD6F78">
        <w:trPr>
          <w:trHeight w:val="212"/>
          <w:tblHeader/>
        </w:trPr>
        <w:tc>
          <w:tcPr>
            <w:tcW w:w="821"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0D4234" w:rsidRPr="007D7653" w:rsidRDefault="000D4234" w:rsidP="00CD6F78">
            <w:pPr>
              <w:jc w:val="center"/>
              <w:rPr>
                <w:rFonts w:ascii="Arial" w:hAnsi="Arial" w:cs="Arial"/>
                <w:b/>
                <w:bCs/>
                <w:snapToGrid/>
                <w:sz w:val="18"/>
                <w:szCs w:val="18"/>
                <w:lang w:val="es-CO" w:eastAsia="es-CO"/>
              </w:rPr>
            </w:pPr>
            <w:r w:rsidRPr="007D7653">
              <w:rPr>
                <w:rFonts w:ascii="Arial" w:hAnsi="Arial" w:cs="Arial"/>
                <w:b/>
                <w:bCs/>
                <w:snapToGrid/>
                <w:sz w:val="18"/>
                <w:szCs w:val="18"/>
                <w:lang w:val="es-CO" w:eastAsia="es-CO"/>
              </w:rPr>
              <w:t>Reporte</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rsidR="000D4234" w:rsidRPr="007D7653" w:rsidRDefault="000D4234" w:rsidP="00CD6F78">
            <w:pPr>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Cuenta/</w:t>
            </w:r>
            <w:r w:rsidRPr="007D7653">
              <w:rPr>
                <w:rFonts w:ascii="Arial" w:hAnsi="Arial" w:cs="Arial"/>
                <w:b/>
                <w:bCs/>
                <w:snapToGrid/>
                <w:color w:val="000000"/>
                <w:sz w:val="18"/>
                <w:szCs w:val="18"/>
                <w:lang w:val="es-CO" w:eastAsia="es-CO"/>
              </w:rPr>
              <w:br/>
              <w:t>Subcuenta</w:t>
            </w:r>
          </w:p>
        </w:tc>
        <w:tc>
          <w:tcPr>
            <w:tcW w:w="7478" w:type="dxa"/>
            <w:tcBorders>
              <w:top w:val="single" w:sz="4" w:space="0" w:color="auto"/>
              <w:left w:val="nil"/>
              <w:bottom w:val="single" w:sz="4" w:space="0" w:color="auto"/>
              <w:right w:val="single" w:sz="4" w:space="0" w:color="auto"/>
            </w:tcBorders>
            <w:shd w:val="clear" w:color="99CC00" w:fill="D9D9D9"/>
            <w:vAlign w:val="center"/>
            <w:hideMark/>
          </w:tcPr>
          <w:p w:rsidR="000D4234" w:rsidRPr="007D7653" w:rsidRDefault="000D4234" w:rsidP="00CD6F78">
            <w:pPr>
              <w:jc w:val="center"/>
              <w:rPr>
                <w:rFonts w:ascii="Arial" w:hAnsi="Arial" w:cs="Arial"/>
                <w:b/>
                <w:bCs/>
                <w:snapToGrid/>
                <w:sz w:val="18"/>
                <w:szCs w:val="18"/>
                <w:lang w:val="es-CO" w:eastAsia="es-CO"/>
              </w:rPr>
            </w:pPr>
            <w:r w:rsidRPr="007D7653">
              <w:rPr>
                <w:rFonts w:ascii="Arial" w:hAnsi="Arial" w:cs="Arial"/>
                <w:b/>
                <w:bCs/>
                <w:snapToGrid/>
                <w:sz w:val="18"/>
                <w:szCs w:val="18"/>
                <w:lang w:val="es-CO" w:eastAsia="es-CO"/>
              </w:rPr>
              <w:t>Denominación</w:t>
            </w:r>
          </w:p>
        </w:tc>
      </w:tr>
      <w:tr w:rsidR="000D4234" w:rsidRPr="007D7653" w:rsidTr="00CD6F78">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0D4234" w:rsidRPr="007D7653" w:rsidRDefault="000D4234"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0D4234" w:rsidRPr="007D7653" w:rsidRDefault="000D4234"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110500</w:t>
            </w:r>
          </w:p>
        </w:tc>
        <w:tc>
          <w:tcPr>
            <w:tcW w:w="7478" w:type="dxa"/>
            <w:tcBorders>
              <w:top w:val="nil"/>
              <w:left w:val="nil"/>
              <w:bottom w:val="single" w:sz="4" w:space="0" w:color="auto"/>
              <w:right w:val="single" w:sz="4" w:space="0" w:color="auto"/>
            </w:tcBorders>
            <w:shd w:val="clear" w:color="99CC00" w:fill="auto"/>
            <w:vAlign w:val="center"/>
            <w:hideMark/>
          </w:tcPr>
          <w:p w:rsidR="000D4234" w:rsidRPr="007D7653" w:rsidRDefault="000D4234"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Caja</w:t>
            </w:r>
          </w:p>
        </w:tc>
      </w:tr>
      <w:tr w:rsidR="000D4234" w:rsidRPr="007D7653" w:rsidTr="00CD6F78">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0D4234" w:rsidRPr="007D7653" w:rsidRDefault="000D4234"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0D4234" w:rsidRPr="007D7653" w:rsidRDefault="000D4234"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111000</w:t>
            </w:r>
          </w:p>
        </w:tc>
        <w:tc>
          <w:tcPr>
            <w:tcW w:w="7478" w:type="dxa"/>
            <w:tcBorders>
              <w:top w:val="nil"/>
              <w:left w:val="nil"/>
              <w:bottom w:val="single" w:sz="4" w:space="0" w:color="auto"/>
              <w:right w:val="single" w:sz="4" w:space="0" w:color="auto"/>
            </w:tcBorders>
            <w:shd w:val="clear" w:color="99CC00" w:fill="auto"/>
            <w:vAlign w:val="center"/>
            <w:hideMark/>
          </w:tcPr>
          <w:p w:rsidR="000D4234" w:rsidRPr="007D7653" w:rsidRDefault="000D4234"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Banco de la Republica</w:t>
            </w:r>
          </w:p>
        </w:tc>
      </w:tr>
    </w:tbl>
    <w:p w:rsidR="000D4234" w:rsidRDefault="000D4234">
      <w:pPr>
        <w:sectPr w:rsidR="000D4234" w:rsidSect="000D4234">
          <w:headerReference w:type="default" r:id="rId26"/>
          <w:footerReference w:type="default" r:id="rId27"/>
          <w:pgSz w:w="12240" w:h="18720" w:code="14"/>
          <w:pgMar w:top="1148" w:right="1134" w:bottom="1701" w:left="1701" w:header="567" w:footer="567" w:gutter="0"/>
          <w:paperSrc w:first="15"/>
          <w:pgNumType w:start="66"/>
          <w:cols w:space="720"/>
          <w:noEndnote/>
          <w:docGrid w:linePitch="272"/>
        </w:sectPr>
      </w:pPr>
    </w:p>
    <w:tbl>
      <w:tblPr>
        <w:tblW w:w="9360" w:type="dxa"/>
        <w:tblInd w:w="65" w:type="dxa"/>
        <w:tblCellMar>
          <w:left w:w="70" w:type="dxa"/>
          <w:right w:w="70" w:type="dxa"/>
        </w:tblCellMar>
        <w:tblLook w:val="04A0" w:firstRow="1" w:lastRow="0" w:firstColumn="1" w:lastColumn="0" w:noHBand="0" w:noVBand="1"/>
      </w:tblPr>
      <w:tblGrid>
        <w:gridCol w:w="821"/>
        <w:gridCol w:w="1061"/>
        <w:gridCol w:w="7478"/>
      </w:tblGrid>
      <w:tr w:rsidR="000D4234" w:rsidRPr="00700E68" w:rsidTr="00CD6F78">
        <w:trPr>
          <w:trHeight w:val="212"/>
          <w:tblHeader/>
        </w:trPr>
        <w:tc>
          <w:tcPr>
            <w:tcW w:w="821"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0D4234" w:rsidRPr="00700E68" w:rsidRDefault="000D4234" w:rsidP="00CD6F78">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lastRenderedPageBreak/>
              <w:t>Reporte</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rsidR="000D4234" w:rsidRPr="00700E68" w:rsidRDefault="000D4234" w:rsidP="00CD6F78">
            <w:pPr>
              <w:jc w:val="center"/>
              <w:rPr>
                <w:rFonts w:ascii="Arial" w:hAnsi="Arial" w:cs="Arial"/>
                <w:b/>
                <w:bCs/>
                <w:snapToGrid/>
                <w:color w:val="000000"/>
                <w:sz w:val="18"/>
                <w:szCs w:val="18"/>
                <w:lang w:val="es-CO" w:eastAsia="es-CO"/>
              </w:rPr>
            </w:pPr>
            <w:r w:rsidRPr="00700E68">
              <w:rPr>
                <w:rFonts w:ascii="Arial" w:hAnsi="Arial" w:cs="Arial"/>
                <w:b/>
                <w:bCs/>
                <w:snapToGrid/>
                <w:color w:val="000000"/>
                <w:sz w:val="18"/>
                <w:szCs w:val="18"/>
                <w:lang w:val="es-CO" w:eastAsia="es-CO"/>
              </w:rPr>
              <w:t>Cuenta/</w:t>
            </w:r>
            <w:r w:rsidRPr="00700E68">
              <w:rPr>
                <w:rFonts w:ascii="Arial" w:hAnsi="Arial" w:cs="Arial"/>
                <w:b/>
                <w:bCs/>
                <w:snapToGrid/>
                <w:color w:val="000000"/>
                <w:sz w:val="18"/>
                <w:szCs w:val="18"/>
                <w:lang w:val="es-CO" w:eastAsia="es-CO"/>
              </w:rPr>
              <w:br/>
              <w:t>Subcuenta</w:t>
            </w:r>
          </w:p>
        </w:tc>
        <w:tc>
          <w:tcPr>
            <w:tcW w:w="7478" w:type="dxa"/>
            <w:tcBorders>
              <w:top w:val="single" w:sz="4" w:space="0" w:color="auto"/>
              <w:left w:val="nil"/>
              <w:bottom w:val="single" w:sz="4" w:space="0" w:color="auto"/>
              <w:right w:val="single" w:sz="4" w:space="0" w:color="auto"/>
            </w:tcBorders>
            <w:shd w:val="clear" w:color="99CC00" w:fill="D9D9D9"/>
            <w:vAlign w:val="center"/>
            <w:hideMark/>
          </w:tcPr>
          <w:p w:rsidR="000D4234" w:rsidRPr="00700E68" w:rsidRDefault="000D4234" w:rsidP="00CD6F78">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Denominación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532447" w:rsidP="00FD52A1">
            <w:pPr>
              <w:jc w:val="center"/>
              <w:rPr>
                <w:rFonts w:ascii="Arial" w:hAnsi="Arial" w:cs="Arial"/>
                <w:snapToGrid/>
                <w:sz w:val="18"/>
                <w:szCs w:val="18"/>
                <w:lang w:val="es-CO" w:eastAsia="es-CO"/>
              </w:rPr>
            </w:pPr>
            <w:r w:rsidRPr="00700E68">
              <w:rPr>
                <w:rFonts w:ascii="Arial" w:hAnsi="Arial" w:cs="Arial"/>
                <w:noProof/>
                <w:snapToGrid/>
                <w:sz w:val="18"/>
                <w:szCs w:val="18"/>
                <w:lang w:val="es-CO" w:eastAsia="es-CO"/>
              </w:rPr>
              <mc:AlternateContent>
                <mc:Choice Requires="wps">
                  <w:drawing>
                    <wp:anchor distT="0" distB="0" distL="114300" distR="114300" simplePos="0" relativeHeight="251668480" behindDoc="0" locked="0" layoutInCell="1" allowOverlap="1" wp14:anchorId="7D51B951" wp14:editId="433F503C">
                      <wp:simplePos x="0" y="0"/>
                      <wp:positionH relativeFrom="column">
                        <wp:posOffset>-104140</wp:posOffset>
                      </wp:positionH>
                      <wp:positionV relativeFrom="paragraph">
                        <wp:posOffset>-292100</wp:posOffset>
                      </wp:positionV>
                      <wp:extent cx="0" cy="9690100"/>
                      <wp:effectExtent l="0" t="0" r="19050" b="2540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010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8.2pt;margin-top:-23pt;width:0;height:7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" strokecolor="black [3213]"/>
                  </w:pict>
                </mc:Fallback>
              </mc:AlternateContent>
            </w:r>
            <w:r w:rsidR="00386B66"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111500</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040B3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B</w:t>
            </w:r>
            <w:r w:rsidR="00386B66" w:rsidRPr="00700E68">
              <w:rPr>
                <w:rFonts w:ascii="Arial" w:hAnsi="Arial" w:cs="Arial"/>
                <w:snapToGrid/>
                <w:sz w:val="18"/>
                <w:szCs w:val="18"/>
                <w:lang w:val="es-CO" w:eastAsia="es-CO"/>
              </w:rPr>
              <w:t>ancos y otras entidades financieras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112000</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Canje</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130401</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de deuda </w:t>
            </w:r>
            <w:r w:rsidR="004F3538" w:rsidRPr="00700E68">
              <w:rPr>
                <w:rFonts w:ascii="Arial" w:hAnsi="Arial" w:cs="Arial"/>
                <w:snapToGrid/>
                <w:sz w:val="18"/>
                <w:szCs w:val="18"/>
                <w:lang w:val="es-CO" w:eastAsia="es-CO"/>
              </w:rPr>
              <w:t>pública</w:t>
            </w:r>
            <w:r w:rsidRPr="00700E68">
              <w:rPr>
                <w:rFonts w:ascii="Arial" w:hAnsi="Arial" w:cs="Arial"/>
                <w:snapToGrid/>
                <w:sz w:val="18"/>
                <w:szCs w:val="18"/>
                <w:lang w:val="es-CO" w:eastAsia="es-CO"/>
              </w:rPr>
              <w:t xml:space="preserve"> interna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130402</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de deuda </w:t>
            </w:r>
            <w:r w:rsidR="004F3538" w:rsidRPr="00700E68">
              <w:rPr>
                <w:rFonts w:ascii="Arial" w:hAnsi="Arial" w:cs="Arial"/>
                <w:snapToGrid/>
                <w:sz w:val="18"/>
                <w:szCs w:val="18"/>
                <w:lang w:val="es-CO" w:eastAsia="es-CO"/>
              </w:rPr>
              <w:t>pública</w:t>
            </w:r>
            <w:r w:rsidRPr="00700E68">
              <w:rPr>
                <w:rFonts w:ascii="Arial" w:hAnsi="Arial" w:cs="Arial"/>
                <w:snapToGrid/>
                <w:sz w:val="18"/>
                <w:szCs w:val="18"/>
                <w:lang w:val="es-CO" w:eastAsia="es-CO"/>
              </w:rPr>
              <w:t xml:space="preserve"> externa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130406</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el Banco de la Republica</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130407</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4F3538"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B</w:t>
            </w:r>
            <w:r w:rsidR="00386B66" w:rsidRPr="00700E68">
              <w:rPr>
                <w:rFonts w:ascii="Arial" w:hAnsi="Arial" w:cs="Arial"/>
                <w:snapToGrid/>
                <w:sz w:val="18"/>
                <w:szCs w:val="18"/>
                <w:lang w:val="es-CO" w:eastAsia="es-CO"/>
              </w:rPr>
              <w:t>onos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130408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130418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emitidos, avalados o garantizados por organismos multilaterales de crédito </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130801</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de deuda </w:t>
            </w:r>
            <w:r w:rsidR="004F3538" w:rsidRPr="00700E68">
              <w:rPr>
                <w:rFonts w:ascii="Arial" w:hAnsi="Arial" w:cs="Arial"/>
                <w:snapToGrid/>
                <w:sz w:val="18"/>
                <w:szCs w:val="18"/>
                <w:lang w:val="es-CO" w:eastAsia="es-CO"/>
              </w:rPr>
              <w:t>pública</w:t>
            </w:r>
            <w:r w:rsidRPr="00700E68">
              <w:rPr>
                <w:rFonts w:ascii="Arial" w:hAnsi="Arial" w:cs="Arial"/>
                <w:snapToGrid/>
                <w:sz w:val="18"/>
                <w:szCs w:val="18"/>
                <w:lang w:val="es-CO" w:eastAsia="es-CO"/>
              </w:rPr>
              <w:t xml:space="preserve"> interna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130802</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de deuda </w:t>
            </w:r>
            <w:r w:rsidR="004F3538" w:rsidRPr="00700E68">
              <w:rPr>
                <w:rFonts w:ascii="Arial" w:hAnsi="Arial" w:cs="Arial"/>
                <w:snapToGrid/>
                <w:sz w:val="18"/>
                <w:szCs w:val="18"/>
                <w:lang w:val="es-CO" w:eastAsia="es-CO"/>
              </w:rPr>
              <w:t>pública</w:t>
            </w:r>
            <w:r w:rsidRPr="00700E68">
              <w:rPr>
                <w:rFonts w:ascii="Arial" w:hAnsi="Arial" w:cs="Arial"/>
                <w:snapToGrid/>
                <w:sz w:val="18"/>
                <w:szCs w:val="18"/>
                <w:lang w:val="es-CO" w:eastAsia="es-CO"/>
              </w:rPr>
              <w:t xml:space="preserve"> externa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130806</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el Banco de la Republica</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130807</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Bonos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130808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130818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emitidos, avalados o garantizados por organismos multilaterales de crédito </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131301</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de deuda </w:t>
            </w:r>
            <w:r w:rsidR="004F3538" w:rsidRPr="00700E68">
              <w:rPr>
                <w:rFonts w:ascii="Arial" w:hAnsi="Arial" w:cs="Arial"/>
                <w:snapToGrid/>
                <w:sz w:val="18"/>
                <w:szCs w:val="18"/>
                <w:lang w:val="es-CO" w:eastAsia="es-CO"/>
              </w:rPr>
              <w:t>pública</w:t>
            </w:r>
            <w:r w:rsidRPr="00700E68">
              <w:rPr>
                <w:rFonts w:ascii="Arial" w:hAnsi="Arial" w:cs="Arial"/>
                <w:snapToGrid/>
                <w:sz w:val="18"/>
                <w:szCs w:val="18"/>
                <w:lang w:val="es-CO" w:eastAsia="es-CO"/>
              </w:rPr>
              <w:t xml:space="preserve"> interna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131302</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de deuda </w:t>
            </w:r>
            <w:r w:rsidR="004F3538" w:rsidRPr="00700E68">
              <w:rPr>
                <w:rFonts w:ascii="Arial" w:hAnsi="Arial" w:cs="Arial"/>
                <w:snapToGrid/>
                <w:sz w:val="18"/>
                <w:szCs w:val="18"/>
                <w:lang w:val="es-CO" w:eastAsia="es-CO"/>
              </w:rPr>
              <w:t>pública</w:t>
            </w:r>
            <w:r w:rsidRPr="00700E68">
              <w:rPr>
                <w:rFonts w:ascii="Arial" w:hAnsi="Arial" w:cs="Arial"/>
                <w:snapToGrid/>
                <w:sz w:val="18"/>
                <w:szCs w:val="18"/>
                <w:lang w:val="es-CO" w:eastAsia="es-CO"/>
              </w:rPr>
              <w:t xml:space="preserve"> externa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131306</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el Banco de la Republica</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131307</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Bonos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131308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131318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emitidos, avalados o garantizados por organismos multilaterales de crédito </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133101</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de deuda </w:t>
            </w:r>
            <w:r w:rsidR="004F3538" w:rsidRPr="00700E68">
              <w:rPr>
                <w:rFonts w:ascii="Arial" w:hAnsi="Arial" w:cs="Arial"/>
                <w:snapToGrid/>
                <w:sz w:val="18"/>
                <w:szCs w:val="18"/>
                <w:lang w:val="es-CO" w:eastAsia="es-CO"/>
              </w:rPr>
              <w:t>pública</w:t>
            </w:r>
            <w:r w:rsidRPr="00700E68">
              <w:rPr>
                <w:rFonts w:ascii="Arial" w:hAnsi="Arial" w:cs="Arial"/>
                <w:snapToGrid/>
                <w:sz w:val="18"/>
                <w:szCs w:val="18"/>
                <w:lang w:val="es-CO" w:eastAsia="es-CO"/>
              </w:rPr>
              <w:t xml:space="preserve"> interna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133102</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de deuda </w:t>
            </w:r>
            <w:r w:rsidR="004F3538" w:rsidRPr="00700E68">
              <w:rPr>
                <w:rFonts w:ascii="Arial" w:hAnsi="Arial" w:cs="Arial"/>
                <w:snapToGrid/>
                <w:sz w:val="18"/>
                <w:szCs w:val="18"/>
                <w:lang w:val="es-CO" w:eastAsia="es-CO"/>
              </w:rPr>
              <w:t>pública</w:t>
            </w:r>
            <w:r w:rsidRPr="00700E68">
              <w:rPr>
                <w:rFonts w:ascii="Arial" w:hAnsi="Arial" w:cs="Arial"/>
                <w:snapToGrid/>
                <w:sz w:val="18"/>
                <w:szCs w:val="18"/>
                <w:lang w:val="es-CO" w:eastAsia="es-CO"/>
              </w:rPr>
              <w:t xml:space="preserve"> externa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133106</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el Banco de la Republica</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133107</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4F3538"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B</w:t>
            </w:r>
            <w:r w:rsidR="00386B66" w:rsidRPr="00700E68">
              <w:rPr>
                <w:rFonts w:ascii="Arial" w:hAnsi="Arial" w:cs="Arial"/>
                <w:snapToGrid/>
                <w:sz w:val="18"/>
                <w:szCs w:val="18"/>
                <w:lang w:val="es-CO" w:eastAsia="es-CO"/>
              </w:rPr>
              <w:t>onos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133108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133118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emitidos, avalados o garantizados por organismos multilaterales de crédito </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133301</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de deuda pública interna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133302</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de deuda pública externa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133306</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el Banco de la Republica</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133307</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4F3538"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B</w:t>
            </w:r>
            <w:r w:rsidR="00386B66" w:rsidRPr="00700E68">
              <w:rPr>
                <w:rFonts w:ascii="Arial" w:hAnsi="Arial" w:cs="Arial"/>
                <w:snapToGrid/>
                <w:sz w:val="18"/>
                <w:szCs w:val="18"/>
                <w:lang w:val="es-CO" w:eastAsia="es-CO"/>
              </w:rPr>
              <w:t>onos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133308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133318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emitidos, avalados o garantizados por organismos multilaterales de crédito </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133501</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de deuda </w:t>
            </w:r>
            <w:r w:rsidR="004F3538" w:rsidRPr="00700E68">
              <w:rPr>
                <w:rFonts w:ascii="Arial" w:hAnsi="Arial" w:cs="Arial"/>
                <w:snapToGrid/>
                <w:sz w:val="18"/>
                <w:szCs w:val="18"/>
                <w:lang w:val="es-CO" w:eastAsia="es-CO"/>
              </w:rPr>
              <w:t>pública</w:t>
            </w:r>
            <w:r w:rsidRPr="00700E68">
              <w:rPr>
                <w:rFonts w:ascii="Arial" w:hAnsi="Arial" w:cs="Arial"/>
                <w:snapToGrid/>
                <w:sz w:val="18"/>
                <w:szCs w:val="18"/>
                <w:lang w:val="es-CO" w:eastAsia="es-CO"/>
              </w:rPr>
              <w:t xml:space="preserve"> interna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133502</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de deuda </w:t>
            </w:r>
            <w:r w:rsidR="004F3538" w:rsidRPr="00700E68">
              <w:rPr>
                <w:rFonts w:ascii="Arial" w:hAnsi="Arial" w:cs="Arial"/>
                <w:snapToGrid/>
                <w:sz w:val="18"/>
                <w:szCs w:val="18"/>
                <w:lang w:val="es-CO" w:eastAsia="es-CO"/>
              </w:rPr>
              <w:t>pública</w:t>
            </w:r>
            <w:r w:rsidRPr="00700E68">
              <w:rPr>
                <w:rFonts w:ascii="Arial" w:hAnsi="Arial" w:cs="Arial"/>
                <w:snapToGrid/>
                <w:sz w:val="18"/>
                <w:szCs w:val="18"/>
                <w:lang w:val="es-CO" w:eastAsia="es-CO"/>
              </w:rPr>
              <w:t xml:space="preserve"> externa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133506</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el Banco de la Republica</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133507</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040B3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B</w:t>
            </w:r>
            <w:r w:rsidR="00386B66" w:rsidRPr="00700E68">
              <w:rPr>
                <w:rFonts w:ascii="Arial" w:hAnsi="Arial" w:cs="Arial"/>
                <w:snapToGrid/>
                <w:sz w:val="18"/>
                <w:szCs w:val="18"/>
                <w:lang w:val="es-CO" w:eastAsia="es-CO"/>
              </w:rPr>
              <w:t>onos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133508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133518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emitidos, avalados o garantizados por organismos multilaterales de crédito </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134001</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de deuda pública interna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134002</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de deuda pública externa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134006</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el Banco de la República</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134007</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040B3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B</w:t>
            </w:r>
            <w:r w:rsidR="00386B66" w:rsidRPr="00700E68">
              <w:rPr>
                <w:rFonts w:ascii="Arial" w:hAnsi="Arial" w:cs="Arial"/>
                <w:snapToGrid/>
                <w:sz w:val="18"/>
                <w:szCs w:val="18"/>
                <w:lang w:val="es-CO" w:eastAsia="es-CO"/>
              </w:rPr>
              <w:t>onos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134008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040B3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w:t>
            </w:r>
            <w:r w:rsidR="00386B66" w:rsidRPr="00700E68">
              <w:rPr>
                <w:rFonts w:ascii="Arial" w:hAnsi="Arial" w:cs="Arial"/>
                <w:snapToGrid/>
                <w:sz w:val="18"/>
                <w:szCs w:val="18"/>
                <w:lang w:val="es-CO" w:eastAsia="es-CO"/>
              </w:rPr>
              <w:t>ítulos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134018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emitidos, avalados o garantizados por organismos multilaterales de crédito </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134401</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040B3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w:t>
            </w:r>
            <w:r w:rsidR="00386B66" w:rsidRPr="00700E68">
              <w:rPr>
                <w:rFonts w:ascii="Arial" w:hAnsi="Arial" w:cs="Arial"/>
                <w:snapToGrid/>
                <w:sz w:val="18"/>
                <w:szCs w:val="18"/>
                <w:lang w:val="es-CO" w:eastAsia="es-CO"/>
              </w:rPr>
              <w:t>ítulos de deuda pública interna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134402</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w:t>
            </w:r>
            <w:r w:rsidR="00386B66" w:rsidRPr="00700E68">
              <w:rPr>
                <w:rFonts w:ascii="Arial" w:hAnsi="Arial" w:cs="Arial"/>
                <w:snapToGrid/>
                <w:sz w:val="18"/>
                <w:szCs w:val="18"/>
                <w:lang w:val="es-CO" w:eastAsia="es-CO"/>
              </w:rPr>
              <w:t>ítulos de deuda pública externa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134406</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w:t>
            </w:r>
            <w:r w:rsidR="00386B66" w:rsidRPr="00700E68">
              <w:rPr>
                <w:rFonts w:ascii="Arial" w:hAnsi="Arial" w:cs="Arial"/>
                <w:snapToGrid/>
                <w:sz w:val="18"/>
                <w:szCs w:val="18"/>
                <w:lang w:val="es-CO" w:eastAsia="es-CO"/>
              </w:rPr>
              <w:t>ítulos emitidos por el Banco de la República</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134407</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AB249D"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B</w:t>
            </w:r>
            <w:r w:rsidR="00386B66" w:rsidRPr="00700E68">
              <w:rPr>
                <w:rFonts w:ascii="Arial" w:hAnsi="Arial" w:cs="Arial"/>
                <w:snapToGrid/>
                <w:sz w:val="18"/>
                <w:szCs w:val="18"/>
                <w:lang w:val="es-CO" w:eastAsia="es-CO"/>
              </w:rPr>
              <w:t>onos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134408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386B66" w:rsidRPr="00700E68">
              <w:rPr>
                <w:rFonts w:ascii="Arial" w:hAnsi="Arial" w:cs="Arial"/>
                <w:snapToGrid/>
                <w:sz w:val="18"/>
                <w:szCs w:val="18"/>
                <w:lang w:val="es-CO" w:eastAsia="es-CO"/>
              </w:rPr>
              <w:t xml:space="preserve">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134418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386B66" w:rsidRPr="00700E68">
              <w:rPr>
                <w:rFonts w:ascii="Arial" w:hAnsi="Arial" w:cs="Arial"/>
                <w:snapToGrid/>
                <w:sz w:val="18"/>
                <w:szCs w:val="18"/>
                <w:lang w:val="es-CO" w:eastAsia="es-CO"/>
              </w:rPr>
              <w:t xml:space="preserve"> emitidos, avalados o garantizados por organismos multilaterales de crédito </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134601</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386B66" w:rsidRPr="00700E68">
              <w:rPr>
                <w:rFonts w:ascii="Arial" w:hAnsi="Arial" w:cs="Arial"/>
                <w:snapToGrid/>
                <w:sz w:val="18"/>
                <w:szCs w:val="18"/>
                <w:lang w:val="es-CO" w:eastAsia="es-CO"/>
              </w:rPr>
              <w:t xml:space="preserve"> de deuda pública interna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134602</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386B66" w:rsidRPr="00700E68">
              <w:rPr>
                <w:rFonts w:ascii="Arial" w:hAnsi="Arial" w:cs="Arial"/>
                <w:snapToGrid/>
                <w:sz w:val="18"/>
                <w:szCs w:val="18"/>
                <w:lang w:val="es-CO" w:eastAsia="es-CO"/>
              </w:rPr>
              <w:t xml:space="preserve"> de deuda pública externa emitidos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134606</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386B66" w:rsidRPr="00700E68">
              <w:rPr>
                <w:rFonts w:ascii="Arial" w:hAnsi="Arial" w:cs="Arial"/>
                <w:snapToGrid/>
                <w:sz w:val="18"/>
                <w:szCs w:val="18"/>
                <w:lang w:val="es-CO" w:eastAsia="es-CO"/>
              </w:rPr>
              <w:t xml:space="preserve"> emitidos por el Banco de la República</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134607</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4F3538"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B</w:t>
            </w:r>
            <w:r w:rsidR="00386B66" w:rsidRPr="00700E68">
              <w:rPr>
                <w:rFonts w:ascii="Arial" w:hAnsi="Arial" w:cs="Arial"/>
                <w:snapToGrid/>
                <w:sz w:val="18"/>
                <w:szCs w:val="18"/>
                <w:lang w:val="es-CO" w:eastAsia="es-CO"/>
              </w:rPr>
              <w:t>onos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134608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386B66" w:rsidRPr="00700E68">
              <w:rPr>
                <w:rFonts w:ascii="Arial" w:hAnsi="Arial" w:cs="Arial"/>
                <w:snapToGrid/>
                <w:sz w:val="18"/>
                <w:szCs w:val="18"/>
                <w:lang w:val="es-CO" w:eastAsia="es-CO"/>
              </w:rPr>
              <w:t xml:space="preserve"> hipotecarios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134618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386B66" w:rsidRPr="00700E68">
              <w:rPr>
                <w:rFonts w:ascii="Arial" w:hAnsi="Arial" w:cs="Arial"/>
                <w:snapToGrid/>
                <w:sz w:val="18"/>
                <w:szCs w:val="18"/>
                <w:lang w:val="es-CO" w:eastAsia="es-CO"/>
              </w:rPr>
              <w:t xml:space="preserve"> emitidos, avalados o garantizados por organismos multilaterales de crédito </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190405</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4F3538"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w:t>
            </w:r>
            <w:r w:rsidR="00386B66" w:rsidRPr="00700E68">
              <w:rPr>
                <w:rFonts w:ascii="Arial" w:hAnsi="Arial" w:cs="Arial"/>
                <w:snapToGrid/>
                <w:sz w:val="18"/>
                <w:szCs w:val="18"/>
                <w:lang w:val="es-CO" w:eastAsia="es-CO"/>
              </w:rPr>
              <w:t>raslado de fondos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193000</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4F3538"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w:t>
            </w:r>
            <w:r w:rsidR="00386B66" w:rsidRPr="00700E68">
              <w:rPr>
                <w:rFonts w:ascii="Arial" w:hAnsi="Arial" w:cs="Arial"/>
                <w:snapToGrid/>
                <w:sz w:val="18"/>
                <w:szCs w:val="18"/>
                <w:lang w:val="es-CO" w:eastAsia="es-CO"/>
              </w:rPr>
              <w:t>ertificados de cambio en administración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193500</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Depósito</w:t>
            </w:r>
            <w:r w:rsidR="00AB249D" w:rsidRPr="00700E68">
              <w:rPr>
                <w:rFonts w:ascii="Arial" w:hAnsi="Arial" w:cs="Arial"/>
                <w:snapToGrid/>
                <w:sz w:val="18"/>
                <w:szCs w:val="18"/>
                <w:lang w:val="es-CO" w:eastAsia="es-CO"/>
              </w:rPr>
              <w:t>s provisionales Banco de la Repú</w:t>
            </w:r>
            <w:r w:rsidRPr="00700E68">
              <w:rPr>
                <w:rFonts w:ascii="Arial" w:hAnsi="Arial" w:cs="Arial"/>
                <w:snapToGrid/>
                <w:sz w:val="18"/>
                <w:szCs w:val="18"/>
                <w:lang w:val="es-CO" w:eastAsia="es-CO"/>
              </w:rPr>
              <w:t>blica</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199005</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Anticipos imporrenta</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199010</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Retención en la fuente</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199012</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Sobrantes de anticipos y retenciones</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199030</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Caja menor</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532447" w:rsidP="00FD52A1">
            <w:pPr>
              <w:jc w:val="center"/>
              <w:rPr>
                <w:rFonts w:ascii="Arial" w:hAnsi="Arial" w:cs="Arial"/>
                <w:snapToGrid/>
                <w:sz w:val="18"/>
                <w:szCs w:val="18"/>
                <w:lang w:val="es-CO" w:eastAsia="es-CO"/>
              </w:rPr>
            </w:pPr>
            <w:r w:rsidRPr="00700E68">
              <w:rPr>
                <w:rFonts w:ascii="Arial" w:hAnsi="Arial" w:cs="Arial"/>
                <w:noProof/>
                <w:snapToGrid/>
                <w:sz w:val="18"/>
                <w:szCs w:val="18"/>
                <w:lang w:val="es-CO" w:eastAsia="es-CO"/>
              </w:rPr>
              <w:lastRenderedPageBreak/>
              <mc:AlternateContent>
                <mc:Choice Requires="wps">
                  <w:drawing>
                    <wp:anchor distT="0" distB="0" distL="114300" distR="114300" simplePos="0" relativeHeight="251729920" behindDoc="0" locked="0" layoutInCell="1" allowOverlap="1" wp14:anchorId="6EF5F8B8" wp14:editId="6D538C66">
                      <wp:simplePos x="0" y="0"/>
                      <wp:positionH relativeFrom="column">
                        <wp:posOffset>-119380</wp:posOffset>
                      </wp:positionH>
                      <wp:positionV relativeFrom="paragraph">
                        <wp:posOffset>-263525</wp:posOffset>
                      </wp:positionV>
                      <wp:extent cx="0" cy="9773285"/>
                      <wp:effectExtent l="0" t="0" r="19050" b="18415"/>
                      <wp:wrapNone/>
                      <wp:docPr id="12" name="12 Conector recto"/>
                      <wp:cNvGraphicFramePr/>
                      <a:graphic xmlns:a="http://schemas.openxmlformats.org/drawingml/2006/main">
                        <a:graphicData uri="http://schemas.microsoft.com/office/word/2010/wordprocessingShape">
                          <wps:wsp>
                            <wps:cNvCnPr/>
                            <wps:spPr>
                              <a:xfrm>
                                <a:off x="0" y="0"/>
                                <a:ext cx="0" cy="97732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2 Conector recto"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20.75pt" to="-9.4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" strokecolor="black [3213]"/>
                  </w:pict>
                </mc:Fallback>
              </mc:AlternateContent>
            </w:r>
            <w:r w:rsidR="00386B66"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199035</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Anticipo impuesto de industria y comercio</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199040</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Iva descontable en el impuesto de renta</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100</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Préstamos a la Nación o garantizados por la Nación.</w:t>
            </w:r>
          </w:p>
        </w:tc>
      </w:tr>
      <w:tr w:rsidR="00386B66" w:rsidRPr="00700E68" w:rsidTr="000D4234">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105</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Provisión de </w:t>
            </w:r>
            <w:r w:rsidR="008B61CC" w:rsidRPr="00700E68">
              <w:rPr>
                <w:rFonts w:ascii="Arial" w:hAnsi="Arial" w:cs="Arial"/>
                <w:snapToGrid/>
                <w:sz w:val="18"/>
                <w:szCs w:val="18"/>
                <w:lang w:val="es-CO" w:eastAsia="es-CO"/>
              </w:rPr>
              <w:t xml:space="preserve">los </w:t>
            </w:r>
            <w:r w:rsidRPr="00700E68">
              <w:rPr>
                <w:rFonts w:ascii="Arial" w:hAnsi="Arial" w:cs="Arial"/>
                <w:snapToGrid/>
                <w:sz w:val="18"/>
                <w:szCs w:val="18"/>
                <w:lang w:val="es-CO" w:eastAsia="es-CO"/>
              </w:rPr>
              <w:t>préstamos a la Nación o garantizados por la Nación.</w:t>
            </w:r>
          </w:p>
        </w:tc>
      </w:tr>
      <w:tr w:rsidR="00386B66" w:rsidRPr="00700E68" w:rsidTr="000D4234">
        <w:trPr>
          <w:trHeight w:val="659"/>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otorgados o garantizados por los gobiernos, bancos centrales o entidades multilaterales cuyos títulos tengan calificación no inferior a "AA-" o "A1" de Standard and Poor's o sus equivalentes en las calificaciones de Fitch Ratings Colombia S.A. o de Moody's Investors Service, mientras mantengan las referidas calificaciones.</w:t>
            </w:r>
          </w:p>
        </w:tc>
      </w:tr>
      <w:tr w:rsidR="00386B66" w:rsidRPr="00700E68" w:rsidTr="000D4234">
        <w:trPr>
          <w:trHeight w:val="627"/>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135</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C26983" w:rsidP="00C26983">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otorgados o garantizados por los gobiernos, bancos centrales o entidades multilaterales cuyos títulos tengan calificación no inferir a "AA-" o "A1" de Standard and Poor's o sus equivalentes en las calificaciones de Fitch Ratings Colombia S.A. o de Moody's Investors Service, mientras mantengan las referidas calificaciones.</w:t>
            </w:r>
          </w:p>
        </w:tc>
      </w:tr>
      <w:tr w:rsidR="00386B66" w:rsidRPr="00700E68" w:rsidTr="000D4234">
        <w:trPr>
          <w:trHeight w:val="217"/>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175</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Derechos fiduciarios constituidos en desarrollo de procesos de titularización de activos de máxima seguridad que clasifiquen en la categoría I de acuerdo con lo establecido en el Capítulo 3 del Título 1 del Libro 1 de la Parte 2 del Decreto 2555 de 2010.</w:t>
            </w:r>
          </w:p>
        </w:tc>
      </w:tr>
      <w:tr w:rsidR="00386B66" w:rsidRPr="00700E68" w:rsidTr="000D4234">
        <w:trPr>
          <w:trHeight w:val="7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337</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otorgados a entidades territoriales garantizados totalmente por la Nación y la porción de los créditos garantizados parcialmente por la Nación por cualquier mecanismo que se considere garantía admisible de acuerdo con los Títulos 2 y 3 del Libro 1 de la Parte 2 del Decreto 2555 de 2010.</w:t>
            </w:r>
          </w:p>
        </w:tc>
      </w:tr>
      <w:tr w:rsidR="00386B66" w:rsidRPr="00700E68" w:rsidTr="000D4234">
        <w:trPr>
          <w:trHeight w:val="55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338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otorgados a entidades territoriales garantizados totalmente por la Nación y la provisión de la porción de los créditos garantizados parcialmente por la Nación por cualquier mecanismo que se considere garantía admisible de acuerdo con los Títulos 2 y 3 del Libro 1 de la Parte 2 del Decreto 2555 de 2010.</w:t>
            </w:r>
          </w:p>
        </w:tc>
      </w:tr>
      <w:tr w:rsidR="00386B66" w:rsidRPr="00700E68" w:rsidTr="000D4234">
        <w:trPr>
          <w:trHeight w:val="381"/>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397</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forzosas adquiridas por la entidad para cumplir con disposiciones legales o reglamentarias clasificadas dentro de la categoría II (ponderan al 20%) de acuerdo con lo establecido en el Capítulo 3 del Título 1 del Libro 1 de la Parte 2 del Decreto 2555 de 2010.</w:t>
            </w:r>
          </w:p>
        </w:tc>
      </w:tr>
      <w:tr w:rsidR="00386B66" w:rsidRPr="00700E68" w:rsidTr="000D4234">
        <w:trPr>
          <w:trHeight w:val="389"/>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398</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forzosas adquiridas por la entidad para cumplir con disposiciones legales o reglamentarias clasificadas dentro de la categoría III (ponderan al 50%) de acuerdo con lo establecido en el Capítulo 3 del Título 1 del Libro 1 de la Parte 2 del Decreto 2555 de 2010.</w:t>
            </w:r>
          </w:p>
        </w:tc>
      </w:tr>
      <w:tr w:rsidR="00386B66" w:rsidRPr="00700E68" w:rsidTr="000D4234">
        <w:trPr>
          <w:trHeight w:val="25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399</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forzosas adquiridas por la entidad para cumplir con disposiciones legales o reglamentarias clasificadas dentro de la categoría IV (ponderan al 100%) de acuerdo con lo establecido en el Capítulo 3 del Título 1 del Libro 1 de la Parte 2 del Decreto 2555 de 2010.</w:t>
            </w:r>
          </w:p>
        </w:tc>
      </w:tr>
      <w:tr w:rsidR="00386B66" w:rsidRPr="00700E68" w:rsidTr="000D4234">
        <w:trPr>
          <w:trHeight w:val="674"/>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421</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el Fondo de Garantías de Instituciones Financieras (Fogafin) destinados a la capitalización de establecimientos de crédito en cuyo capital participen entidades públicas o en los cuales exista participación de recursos públicos, siempre que el principal y los intereses de dichos títulos se paguen con recursos que la Nación se haya comprometido a entregar al Fogafin, contabilizados como inversión o como derecho de recompra de inversiones.</w:t>
            </w:r>
          </w:p>
        </w:tc>
      </w:tr>
      <w:tr w:rsidR="00386B66" w:rsidRPr="00700E68" w:rsidTr="000D4234">
        <w:trPr>
          <w:trHeight w:val="178"/>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426</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Exposición crediticia de instrumentos financieros derivados siempre que la contraparte sea la Nación, el Banco de la República o una cámara de riesgo central de contraparte, de acuerdo con lo señalado en el artículo 2.1.1.3.2 del Decreto 2555 de 2010.</w:t>
            </w:r>
          </w:p>
        </w:tc>
      </w:tr>
      <w:tr w:rsidR="00386B66" w:rsidRPr="00700E68" w:rsidTr="000D4234">
        <w:trPr>
          <w:trHeight w:val="469"/>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433</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386B6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Garantías en efectivo entregadas para respaldar la realización de operaciones con instrumentos financieros derivados, que sean compensadas y liquidadas a través de una Cámara de Riesgo Central de Contraparte, en las cuales dicha </w:t>
            </w:r>
            <w:r w:rsidR="00AB249D" w:rsidRPr="00700E68">
              <w:rPr>
                <w:rFonts w:ascii="Arial" w:hAnsi="Arial" w:cs="Arial"/>
                <w:snapToGrid/>
                <w:sz w:val="18"/>
                <w:szCs w:val="18"/>
                <w:lang w:val="es-CO" w:eastAsia="es-CO"/>
              </w:rPr>
              <w:t>C</w:t>
            </w:r>
            <w:r w:rsidRPr="00700E68">
              <w:rPr>
                <w:rFonts w:ascii="Arial" w:hAnsi="Arial" w:cs="Arial"/>
                <w:snapToGrid/>
                <w:sz w:val="18"/>
                <w:szCs w:val="18"/>
                <w:lang w:val="es-CO" w:eastAsia="es-CO"/>
              </w:rPr>
              <w:t>ámara se interponga como contraparte. Dichas garantías se deberán contabilizar en la cuenta 196015 del PUC Financiero.</w:t>
            </w:r>
          </w:p>
        </w:tc>
      </w:tr>
      <w:tr w:rsidR="00386B66" w:rsidRPr="00700E68" w:rsidTr="000D4234">
        <w:trPr>
          <w:trHeight w:val="281"/>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435</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Cuentas por cobrar a cargo de la Nación - Ministerio de Hacienda y Crédito Público-, originadas en los abonos realizados a los créditos hipotecarios de vivienda individual a largo plazo como producto de la reliquidación.</w:t>
            </w:r>
          </w:p>
        </w:tc>
      </w:tr>
      <w:tr w:rsidR="00386B66" w:rsidRPr="00700E68" w:rsidTr="000D4234">
        <w:trPr>
          <w:trHeight w:val="161"/>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475</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Derechos fiduciarios de fideicomisos realizados con títulos emitidos por Fogafin, de los que trata el literal c) del artículo 2.1.1.3.4 del Decreto 2555 de 2010.</w:t>
            </w:r>
          </w:p>
        </w:tc>
      </w:tr>
      <w:tr w:rsidR="00386B66" w:rsidRPr="00700E68" w:rsidTr="000D4234">
        <w:trPr>
          <w:trHeight w:val="297"/>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86B66" w:rsidRPr="00700E68" w:rsidRDefault="00386B6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520</w:t>
            </w:r>
          </w:p>
        </w:tc>
        <w:tc>
          <w:tcPr>
            <w:tcW w:w="7478" w:type="dxa"/>
            <w:tcBorders>
              <w:top w:val="nil"/>
              <w:left w:val="nil"/>
              <w:bottom w:val="single" w:sz="4" w:space="0" w:color="auto"/>
              <w:right w:val="single" w:sz="4" w:space="0" w:color="auto"/>
            </w:tcBorders>
            <w:shd w:val="clear" w:color="99CC00" w:fill="auto"/>
            <w:vAlign w:val="center"/>
            <w:hideMark/>
          </w:tcPr>
          <w:p w:rsidR="00386B66"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La exposición neta positiva en las operaciones de reporto o repo, operaciones simultáneas y operaciones de transferencia temporal de valores, siempre que la contraparte sea la Nación, el Banco de la República o una cámara central de contraparte, clasificada en la categoría I de acuerdo con lo señalado en el artículo 2.1.1.3.2 del Decreto 2555 de 2010.</w:t>
            </w:r>
          </w:p>
        </w:tc>
      </w:tr>
    </w:tbl>
    <w:p w:rsidR="004740A5" w:rsidRPr="00700E68" w:rsidRDefault="004740A5" w:rsidP="00FD52A1">
      <w:pPr>
        <w:rPr>
          <w:rFonts w:ascii="Arial" w:hAnsi="Arial" w:cs="Arial"/>
          <w:sz w:val="18"/>
          <w:szCs w:val="18"/>
          <w:lang w:val="es-CO"/>
        </w:rPr>
      </w:pPr>
    </w:p>
    <w:p w:rsidR="008222BC" w:rsidRPr="00700E68" w:rsidRDefault="0047780A" w:rsidP="009E3550">
      <w:pPr>
        <w:pStyle w:val="Prrafodelista"/>
        <w:numPr>
          <w:ilvl w:val="2"/>
          <w:numId w:val="21"/>
        </w:numPr>
        <w:ind w:left="851" w:hanging="851"/>
        <w:jc w:val="both"/>
        <w:rPr>
          <w:rFonts w:ascii="Arial" w:hAnsi="Arial" w:cs="Arial"/>
          <w:b/>
          <w:sz w:val="18"/>
          <w:szCs w:val="18"/>
        </w:rPr>
      </w:pPr>
      <w:r w:rsidRPr="00700E68">
        <w:rPr>
          <w:rFonts w:ascii="Arial" w:hAnsi="Arial" w:cs="Arial"/>
          <w:b/>
          <w:sz w:val="18"/>
          <w:szCs w:val="18"/>
        </w:rPr>
        <w:t>Activos que ponderan</w:t>
      </w:r>
      <w:r w:rsidR="008222BC" w:rsidRPr="00700E68">
        <w:rPr>
          <w:rFonts w:ascii="Arial" w:hAnsi="Arial" w:cs="Arial"/>
          <w:b/>
          <w:sz w:val="18"/>
          <w:szCs w:val="18"/>
        </w:rPr>
        <w:t xml:space="preserve"> por riesgo crediticio al veinte por ciento (20%):</w:t>
      </w:r>
    </w:p>
    <w:p w:rsidR="00F56DAF" w:rsidRPr="00700E68" w:rsidRDefault="00F56DAF" w:rsidP="00FD52A1">
      <w:pPr>
        <w:jc w:val="both"/>
        <w:rPr>
          <w:rFonts w:ascii="Arial" w:hAnsi="Arial" w:cs="Arial"/>
          <w:b/>
          <w:sz w:val="18"/>
          <w:szCs w:val="18"/>
        </w:rPr>
      </w:pPr>
    </w:p>
    <w:tbl>
      <w:tblPr>
        <w:tblW w:w="9360" w:type="dxa"/>
        <w:tblInd w:w="65" w:type="dxa"/>
        <w:tblCellMar>
          <w:left w:w="70" w:type="dxa"/>
          <w:right w:w="70" w:type="dxa"/>
        </w:tblCellMar>
        <w:tblLook w:val="04A0" w:firstRow="1" w:lastRow="0" w:firstColumn="1" w:lastColumn="0" w:noHBand="0" w:noVBand="1"/>
      </w:tblPr>
      <w:tblGrid>
        <w:gridCol w:w="821"/>
        <w:gridCol w:w="1061"/>
        <w:gridCol w:w="7478"/>
      </w:tblGrid>
      <w:tr w:rsidR="00F56DAF" w:rsidRPr="00700E68" w:rsidTr="00F56DAF">
        <w:trPr>
          <w:trHeight w:val="342"/>
          <w:tblHeader/>
        </w:trPr>
        <w:tc>
          <w:tcPr>
            <w:tcW w:w="760"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F56DAF" w:rsidRPr="00700E68" w:rsidRDefault="00F56DAF"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Reporte</w:t>
            </w:r>
          </w:p>
        </w:tc>
        <w:tc>
          <w:tcPr>
            <w:tcW w:w="880" w:type="dxa"/>
            <w:tcBorders>
              <w:top w:val="single" w:sz="4" w:space="0" w:color="auto"/>
              <w:left w:val="nil"/>
              <w:bottom w:val="single" w:sz="4" w:space="0" w:color="auto"/>
              <w:right w:val="single" w:sz="4" w:space="0" w:color="auto"/>
            </w:tcBorders>
            <w:shd w:val="clear" w:color="99CC00" w:fill="D9D9D9"/>
            <w:vAlign w:val="center"/>
            <w:hideMark/>
          </w:tcPr>
          <w:p w:rsidR="00F56DAF" w:rsidRPr="00700E68" w:rsidRDefault="00F56DAF"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Cuenta/</w:t>
            </w:r>
            <w:r w:rsidRPr="00700E68">
              <w:rPr>
                <w:rFonts w:ascii="Arial" w:hAnsi="Arial" w:cs="Arial"/>
                <w:b/>
                <w:bCs/>
                <w:snapToGrid/>
                <w:sz w:val="18"/>
                <w:szCs w:val="18"/>
                <w:lang w:val="es-CO" w:eastAsia="es-CO"/>
              </w:rPr>
              <w:br/>
              <w:t>Subcuenta</w:t>
            </w:r>
          </w:p>
        </w:tc>
        <w:tc>
          <w:tcPr>
            <w:tcW w:w="7720" w:type="dxa"/>
            <w:tcBorders>
              <w:top w:val="single" w:sz="4" w:space="0" w:color="auto"/>
              <w:left w:val="nil"/>
              <w:bottom w:val="single" w:sz="4" w:space="0" w:color="auto"/>
              <w:right w:val="single" w:sz="4" w:space="0" w:color="auto"/>
            </w:tcBorders>
            <w:shd w:val="clear" w:color="99CC00" w:fill="D9D9D9"/>
            <w:vAlign w:val="center"/>
            <w:hideMark/>
          </w:tcPr>
          <w:p w:rsidR="00F56DAF" w:rsidRPr="00700E68" w:rsidRDefault="00F56DAF"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Denominación</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120500</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F</w:t>
            </w:r>
            <w:r w:rsidR="00F56DAF" w:rsidRPr="00700E68">
              <w:rPr>
                <w:rFonts w:ascii="Arial" w:hAnsi="Arial" w:cs="Arial"/>
                <w:snapToGrid/>
                <w:sz w:val="18"/>
                <w:szCs w:val="18"/>
                <w:lang w:val="es-CO" w:eastAsia="es-CO"/>
              </w:rPr>
              <w:t xml:space="preserve">ondos interbancarios vendidos ordinarios </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130403</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64BEE"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w:t>
            </w:r>
            <w:r w:rsidR="00F56DAF" w:rsidRPr="00700E68">
              <w:rPr>
                <w:rFonts w:ascii="Arial" w:hAnsi="Arial" w:cs="Arial"/>
                <w:snapToGrid/>
                <w:sz w:val="18"/>
                <w:szCs w:val="18"/>
                <w:lang w:val="es-CO" w:eastAsia="es-CO"/>
              </w:rPr>
              <w:t>tros</w:t>
            </w:r>
            <w:r w:rsidR="00AB249D" w:rsidRPr="00700E68">
              <w:rPr>
                <w:rFonts w:ascii="Arial" w:hAnsi="Arial" w:cs="Arial"/>
                <w:snapToGrid/>
                <w:sz w:val="18"/>
                <w:szCs w:val="18"/>
                <w:lang w:val="es-CO" w:eastAsia="es-CO"/>
              </w:rPr>
              <w:t xml:space="preserve"> títulos</w:t>
            </w:r>
            <w:r w:rsidR="00195B35" w:rsidRPr="00700E68">
              <w:rPr>
                <w:rFonts w:ascii="Arial" w:hAnsi="Arial" w:cs="Arial"/>
                <w:snapToGrid/>
                <w:sz w:val="18"/>
                <w:szCs w:val="18"/>
                <w:lang w:val="es-CO" w:eastAsia="es-CO"/>
              </w:rPr>
              <w:t xml:space="preserve"> de deuda pú</w:t>
            </w:r>
            <w:r w:rsidR="00F56DAF" w:rsidRPr="00700E68">
              <w:rPr>
                <w:rFonts w:ascii="Arial" w:hAnsi="Arial" w:cs="Arial"/>
                <w:snapToGrid/>
                <w:sz w:val="18"/>
                <w:szCs w:val="18"/>
                <w:lang w:val="es-CO" w:eastAsia="es-CO"/>
              </w:rPr>
              <w:t xml:space="preserve">blica </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130404</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Fogafin</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130405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Fogacoop</w:t>
            </w:r>
          </w:p>
        </w:tc>
      </w:tr>
      <w:tr w:rsidR="00F56DAF" w:rsidRPr="00700E68" w:rsidTr="00F56DAF">
        <w:trPr>
          <w:trHeight w:val="45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130411</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aceptados o garantizados por instituciones vigiladas por la </w:t>
            </w:r>
            <w:r w:rsidR="00AB249D" w:rsidRPr="00700E68">
              <w:rPr>
                <w:rFonts w:ascii="Arial" w:hAnsi="Arial" w:cs="Arial"/>
                <w:snapToGrid/>
                <w:sz w:val="18"/>
                <w:szCs w:val="18"/>
                <w:lang w:val="es-CO" w:eastAsia="es-CO"/>
              </w:rPr>
              <w:t>Superintendencia Bancaria</w:t>
            </w:r>
            <w:r w:rsidR="00F56DAF" w:rsidRPr="00700E68">
              <w:rPr>
                <w:rFonts w:ascii="Arial" w:hAnsi="Arial" w:cs="Arial"/>
                <w:snapToGrid/>
                <w:sz w:val="18"/>
                <w:szCs w:val="18"/>
                <w:lang w:val="es-CO" w:eastAsia="es-CO"/>
              </w:rPr>
              <w:t xml:space="preserve">  (incluidos los bonos obligatoria u opcionalmente convertibles en acciones)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130415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gobiernos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130416</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bancos centrales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130803</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F56DAF"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Otros</w:t>
            </w:r>
            <w:r w:rsidR="00AB249D" w:rsidRPr="00700E68">
              <w:rPr>
                <w:rFonts w:ascii="Arial" w:hAnsi="Arial" w:cs="Arial"/>
                <w:snapToGrid/>
                <w:sz w:val="18"/>
                <w:szCs w:val="18"/>
                <w:lang w:val="es-CO" w:eastAsia="es-CO"/>
              </w:rPr>
              <w:t xml:space="preserve"> títulos</w:t>
            </w:r>
            <w:r w:rsidR="00195B35" w:rsidRPr="00700E68">
              <w:rPr>
                <w:rFonts w:ascii="Arial" w:hAnsi="Arial" w:cs="Arial"/>
                <w:snapToGrid/>
                <w:sz w:val="18"/>
                <w:szCs w:val="18"/>
                <w:lang w:val="es-CO" w:eastAsia="es-CO"/>
              </w:rPr>
              <w:t xml:space="preserve"> de deuda pú</w:t>
            </w:r>
            <w:r w:rsidRPr="00700E68">
              <w:rPr>
                <w:rFonts w:ascii="Arial" w:hAnsi="Arial" w:cs="Arial"/>
                <w:snapToGrid/>
                <w:sz w:val="18"/>
                <w:szCs w:val="18"/>
                <w:lang w:val="es-CO" w:eastAsia="es-CO"/>
              </w:rPr>
              <w:t xml:space="preserve">blica </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532447" w:rsidP="00FD52A1">
            <w:pPr>
              <w:jc w:val="center"/>
              <w:rPr>
                <w:rFonts w:ascii="Arial" w:hAnsi="Arial" w:cs="Arial"/>
                <w:snapToGrid/>
                <w:sz w:val="18"/>
                <w:szCs w:val="18"/>
                <w:lang w:val="es-CO" w:eastAsia="es-CO"/>
              </w:rPr>
            </w:pPr>
            <w:r w:rsidRPr="00700E68">
              <w:rPr>
                <w:rFonts w:ascii="Arial" w:hAnsi="Arial" w:cs="Arial"/>
                <w:noProof/>
                <w:snapToGrid/>
                <w:sz w:val="18"/>
                <w:szCs w:val="18"/>
                <w:lang w:val="es-CO" w:eastAsia="es-CO"/>
              </w:rPr>
              <w:lastRenderedPageBreak/>
              <mc:AlternateContent>
                <mc:Choice Requires="wps">
                  <w:drawing>
                    <wp:anchor distT="0" distB="0" distL="114300" distR="114300" simplePos="0" relativeHeight="251670528" behindDoc="0" locked="0" layoutInCell="1" allowOverlap="1" wp14:anchorId="393E11ED" wp14:editId="1D428818">
                      <wp:simplePos x="0" y="0"/>
                      <wp:positionH relativeFrom="column">
                        <wp:posOffset>-124460</wp:posOffset>
                      </wp:positionH>
                      <wp:positionV relativeFrom="paragraph">
                        <wp:posOffset>-280670</wp:posOffset>
                      </wp:positionV>
                      <wp:extent cx="635" cy="9749155"/>
                      <wp:effectExtent l="0" t="0" r="37465" b="2349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74915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9.8pt;margin-top:-22.1pt;width:.05pt;height:76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" strokecolor="black [3213]"/>
                  </w:pict>
                </mc:Fallback>
              </mc:AlternateContent>
            </w:r>
            <w:r w:rsidR="00F56DAF"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130804</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Fogafin</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130805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Fogacoop</w:t>
            </w:r>
          </w:p>
        </w:tc>
      </w:tr>
      <w:tr w:rsidR="00F56DAF" w:rsidRPr="00700E68" w:rsidTr="00BE07D5">
        <w:trPr>
          <w:trHeight w:val="217"/>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130811</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aceptados o garantizados por instituciones vigiladas por la </w:t>
            </w:r>
            <w:r w:rsidR="00AB249D" w:rsidRPr="00700E68">
              <w:rPr>
                <w:rFonts w:ascii="Arial" w:hAnsi="Arial" w:cs="Arial"/>
                <w:snapToGrid/>
                <w:sz w:val="18"/>
                <w:szCs w:val="18"/>
                <w:lang w:val="es-CO" w:eastAsia="es-CO"/>
              </w:rPr>
              <w:t>Superintendencia Bancaria</w:t>
            </w:r>
            <w:r w:rsidR="00F56DAF" w:rsidRPr="00700E68">
              <w:rPr>
                <w:rFonts w:ascii="Arial" w:hAnsi="Arial" w:cs="Arial"/>
                <w:snapToGrid/>
                <w:sz w:val="18"/>
                <w:szCs w:val="18"/>
                <w:lang w:val="es-CO" w:eastAsia="es-CO"/>
              </w:rPr>
              <w:t xml:space="preserve">  (incluidos los bonos obligatoria u opcionalmente convertibles en acciones)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130815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gobiernos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130816</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bancos centrales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131303</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AB249D"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w:t>
            </w:r>
            <w:r w:rsidR="00F56DAF" w:rsidRPr="00700E68">
              <w:rPr>
                <w:rFonts w:ascii="Arial" w:hAnsi="Arial" w:cs="Arial"/>
                <w:snapToGrid/>
                <w:sz w:val="18"/>
                <w:szCs w:val="18"/>
                <w:lang w:val="es-CO" w:eastAsia="es-CO"/>
              </w:rPr>
              <w:t>tros</w:t>
            </w:r>
            <w:r w:rsidRPr="00700E68">
              <w:rPr>
                <w:rFonts w:ascii="Arial" w:hAnsi="Arial" w:cs="Arial"/>
                <w:snapToGrid/>
                <w:sz w:val="18"/>
                <w:szCs w:val="18"/>
                <w:lang w:val="es-CO" w:eastAsia="es-CO"/>
              </w:rPr>
              <w:t xml:space="preserve"> títulos</w:t>
            </w:r>
            <w:r w:rsidR="00F56DAF" w:rsidRPr="00700E68">
              <w:rPr>
                <w:rFonts w:ascii="Arial" w:hAnsi="Arial" w:cs="Arial"/>
                <w:snapToGrid/>
                <w:sz w:val="18"/>
                <w:szCs w:val="18"/>
                <w:lang w:val="es-CO" w:eastAsia="es-CO"/>
              </w:rPr>
              <w:t xml:space="preserve"> de deuda p</w:t>
            </w:r>
            <w:r w:rsidRPr="00700E68">
              <w:rPr>
                <w:rFonts w:ascii="Arial" w:hAnsi="Arial" w:cs="Arial"/>
                <w:snapToGrid/>
                <w:sz w:val="18"/>
                <w:szCs w:val="18"/>
                <w:lang w:val="es-CO" w:eastAsia="es-CO"/>
              </w:rPr>
              <w:t>ú</w:t>
            </w:r>
            <w:r w:rsidR="00F56DAF" w:rsidRPr="00700E68">
              <w:rPr>
                <w:rFonts w:ascii="Arial" w:hAnsi="Arial" w:cs="Arial"/>
                <w:snapToGrid/>
                <w:sz w:val="18"/>
                <w:szCs w:val="18"/>
                <w:lang w:val="es-CO" w:eastAsia="es-CO"/>
              </w:rPr>
              <w:t xml:space="preserve">blica </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131304</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Fogafin</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131305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Fogacoop</w:t>
            </w:r>
          </w:p>
        </w:tc>
      </w:tr>
      <w:tr w:rsidR="00F56DAF" w:rsidRPr="00700E68" w:rsidTr="00F56DAF">
        <w:trPr>
          <w:trHeight w:val="45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131311</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aceptados o garantizados por instituciones vigiladas por la </w:t>
            </w:r>
            <w:r w:rsidR="00AB249D" w:rsidRPr="00700E68">
              <w:rPr>
                <w:rFonts w:ascii="Arial" w:hAnsi="Arial" w:cs="Arial"/>
                <w:snapToGrid/>
                <w:sz w:val="18"/>
                <w:szCs w:val="18"/>
                <w:lang w:val="es-CO" w:eastAsia="es-CO"/>
              </w:rPr>
              <w:t>Superintendencia Bancaria</w:t>
            </w:r>
            <w:r w:rsidR="00F56DAF" w:rsidRPr="00700E68">
              <w:rPr>
                <w:rFonts w:ascii="Arial" w:hAnsi="Arial" w:cs="Arial"/>
                <w:snapToGrid/>
                <w:sz w:val="18"/>
                <w:szCs w:val="18"/>
                <w:lang w:val="es-CO" w:eastAsia="es-CO"/>
              </w:rPr>
              <w:t xml:space="preserve">  (incluidos los bonos obligatoria u opcionalmente convertibles en acciones)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131315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gobiernos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131316</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bancos centrales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133103</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64BEE"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w:t>
            </w:r>
            <w:r w:rsidR="00F56DAF" w:rsidRPr="00700E68">
              <w:rPr>
                <w:rFonts w:ascii="Arial" w:hAnsi="Arial" w:cs="Arial"/>
                <w:snapToGrid/>
                <w:sz w:val="18"/>
                <w:szCs w:val="18"/>
                <w:lang w:val="es-CO" w:eastAsia="es-CO"/>
              </w:rPr>
              <w:t>tros</w:t>
            </w:r>
            <w:r w:rsidR="00AB249D" w:rsidRPr="00700E68">
              <w:rPr>
                <w:rFonts w:ascii="Arial" w:hAnsi="Arial" w:cs="Arial"/>
                <w:snapToGrid/>
                <w:sz w:val="18"/>
                <w:szCs w:val="18"/>
                <w:lang w:val="es-CO" w:eastAsia="es-CO"/>
              </w:rPr>
              <w:t xml:space="preserve"> títulos</w:t>
            </w:r>
            <w:r w:rsidR="00F56DAF" w:rsidRPr="00700E68">
              <w:rPr>
                <w:rFonts w:ascii="Arial" w:hAnsi="Arial" w:cs="Arial"/>
                <w:snapToGrid/>
                <w:sz w:val="18"/>
                <w:szCs w:val="18"/>
                <w:lang w:val="es-CO" w:eastAsia="es-CO"/>
              </w:rPr>
              <w:t xml:space="preserve"> de deuda publica </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133104</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Fogafin</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133105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Fogacoop</w:t>
            </w:r>
          </w:p>
        </w:tc>
      </w:tr>
      <w:tr w:rsidR="00F56DAF" w:rsidRPr="00700E68" w:rsidTr="00EA3A0C">
        <w:trPr>
          <w:trHeight w:val="152"/>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133111</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aceptados o garantizados por instituciones vigiladas por la </w:t>
            </w:r>
            <w:r w:rsidR="00AB249D" w:rsidRPr="00700E68">
              <w:rPr>
                <w:rFonts w:ascii="Arial" w:hAnsi="Arial" w:cs="Arial"/>
                <w:snapToGrid/>
                <w:sz w:val="18"/>
                <w:szCs w:val="18"/>
                <w:lang w:val="es-CO" w:eastAsia="es-CO"/>
              </w:rPr>
              <w:t>Superintendencia Bancaria</w:t>
            </w:r>
            <w:r w:rsidR="00F56DAF" w:rsidRPr="00700E68">
              <w:rPr>
                <w:rFonts w:ascii="Arial" w:hAnsi="Arial" w:cs="Arial"/>
                <w:snapToGrid/>
                <w:sz w:val="18"/>
                <w:szCs w:val="18"/>
                <w:lang w:val="es-CO" w:eastAsia="es-CO"/>
              </w:rPr>
              <w:t xml:space="preserve">  (incluidos los bonos obligatoria u opcionalmente convertibles en acciones)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133115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gobiernos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133116</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bancos centrales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133303</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64BEE"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w:t>
            </w:r>
            <w:r w:rsidR="00F56DAF" w:rsidRPr="00700E68">
              <w:rPr>
                <w:rFonts w:ascii="Arial" w:hAnsi="Arial" w:cs="Arial"/>
                <w:snapToGrid/>
                <w:sz w:val="18"/>
                <w:szCs w:val="18"/>
                <w:lang w:val="es-CO" w:eastAsia="es-CO"/>
              </w:rPr>
              <w:t>tros</w:t>
            </w:r>
            <w:r w:rsidR="00AB249D" w:rsidRPr="00700E68">
              <w:rPr>
                <w:rFonts w:ascii="Arial" w:hAnsi="Arial" w:cs="Arial"/>
                <w:snapToGrid/>
                <w:sz w:val="18"/>
                <w:szCs w:val="18"/>
                <w:lang w:val="es-CO" w:eastAsia="es-CO"/>
              </w:rPr>
              <w:t xml:space="preserve"> títulos</w:t>
            </w:r>
            <w:r w:rsidR="00F56DAF" w:rsidRPr="00700E68">
              <w:rPr>
                <w:rFonts w:ascii="Arial" w:hAnsi="Arial" w:cs="Arial"/>
                <w:snapToGrid/>
                <w:sz w:val="18"/>
                <w:szCs w:val="18"/>
                <w:lang w:val="es-CO" w:eastAsia="es-CO"/>
              </w:rPr>
              <w:t xml:space="preserve"> de deuda pública </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133304</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Fogafin</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133305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Fogacoop</w:t>
            </w:r>
          </w:p>
        </w:tc>
      </w:tr>
      <w:tr w:rsidR="00F56DAF" w:rsidRPr="00700E68" w:rsidTr="00F56DAF">
        <w:trPr>
          <w:trHeight w:val="45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133311</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aceptados o garantizados por instituciones vigiladas por la </w:t>
            </w:r>
            <w:r w:rsidR="00AB249D" w:rsidRPr="00700E68">
              <w:rPr>
                <w:rFonts w:ascii="Arial" w:hAnsi="Arial" w:cs="Arial"/>
                <w:snapToGrid/>
                <w:sz w:val="18"/>
                <w:szCs w:val="18"/>
                <w:lang w:val="es-CO" w:eastAsia="es-CO"/>
              </w:rPr>
              <w:t>Superintendencia Bancaria</w:t>
            </w:r>
            <w:r w:rsidR="00F56DAF" w:rsidRPr="00700E68">
              <w:rPr>
                <w:rFonts w:ascii="Arial" w:hAnsi="Arial" w:cs="Arial"/>
                <w:snapToGrid/>
                <w:sz w:val="18"/>
                <w:szCs w:val="18"/>
                <w:lang w:val="es-CO" w:eastAsia="es-CO"/>
              </w:rPr>
              <w:t xml:space="preserve">  (incluidos los bonos obligatoria u opcionalmente convertibles en acciones)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133315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gobiernos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133316</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bancos centrales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133503</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64BEE"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w:t>
            </w:r>
            <w:r w:rsidR="00F56DAF" w:rsidRPr="00700E68">
              <w:rPr>
                <w:rFonts w:ascii="Arial" w:hAnsi="Arial" w:cs="Arial"/>
                <w:snapToGrid/>
                <w:sz w:val="18"/>
                <w:szCs w:val="18"/>
                <w:lang w:val="es-CO" w:eastAsia="es-CO"/>
              </w:rPr>
              <w:t>tros</w:t>
            </w:r>
            <w:r w:rsidR="00AB249D" w:rsidRPr="00700E68">
              <w:rPr>
                <w:rFonts w:ascii="Arial" w:hAnsi="Arial" w:cs="Arial"/>
                <w:snapToGrid/>
                <w:sz w:val="18"/>
                <w:szCs w:val="18"/>
                <w:lang w:val="es-CO" w:eastAsia="es-CO"/>
              </w:rPr>
              <w:t xml:space="preserve"> títulos</w:t>
            </w:r>
            <w:r w:rsidR="00F56DAF" w:rsidRPr="00700E68">
              <w:rPr>
                <w:rFonts w:ascii="Arial" w:hAnsi="Arial" w:cs="Arial"/>
                <w:snapToGrid/>
                <w:sz w:val="18"/>
                <w:szCs w:val="18"/>
                <w:lang w:val="es-CO" w:eastAsia="es-CO"/>
              </w:rPr>
              <w:t xml:space="preserve"> de deuda publica </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133504</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Fogafin</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133505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Fogacoop</w:t>
            </w:r>
          </w:p>
        </w:tc>
      </w:tr>
      <w:tr w:rsidR="00F56DAF" w:rsidRPr="00700E68" w:rsidTr="00F56DAF">
        <w:trPr>
          <w:trHeight w:val="45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133511</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aceptados o garantizados por instituciones vig</w:t>
            </w:r>
            <w:r w:rsidR="00AB249D" w:rsidRPr="00700E68">
              <w:rPr>
                <w:rFonts w:ascii="Arial" w:hAnsi="Arial" w:cs="Arial"/>
                <w:snapToGrid/>
                <w:sz w:val="18"/>
                <w:szCs w:val="18"/>
                <w:lang w:val="es-CO" w:eastAsia="es-CO"/>
              </w:rPr>
              <w:t>iladas por la Superintendencia Bancaria</w:t>
            </w:r>
            <w:r w:rsidR="00F56DAF" w:rsidRPr="00700E68">
              <w:rPr>
                <w:rFonts w:ascii="Arial" w:hAnsi="Arial" w:cs="Arial"/>
                <w:snapToGrid/>
                <w:sz w:val="18"/>
                <w:szCs w:val="18"/>
                <w:lang w:val="es-CO" w:eastAsia="es-CO"/>
              </w:rPr>
              <w:t xml:space="preserve">  (incluidos los bonos obligatoria u opcionalmente convertibles en acciones)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133515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gobiernos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133516</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bancos centrales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134003</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64BEE"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w:t>
            </w:r>
            <w:r w:rsidR="00F56DAF" w:rsidRPr="00700E68">
              <w:rPr>
                <w:rFonts w:ascii="Arial" w:hAnsi="Arial" w:cs="Arial"/>
                <w:snapToGrid/>
                <w:sz w:val="18"/>
                <w:szCs w:val="18"/>
                <w:lang w:val="es-CO" w:eastAsia="es-CO"/>
              </w:rPr>
              <w:t>tros</w:t>
            </w:r>
            <w:r w:rsidR="00AB249D" w:rsidRPr="00700E68">
              <w:rPr>
                <w:rFonts w:ascii="Arial" w:hAnsi="Arial" w:cs="Arial"/>
                <w:snapToGrid/>
                <w:sz w:val="18"/>
                <w:szCs w:val="18"/>
                <w:lang w:val="es-CO" w:eastAsia="es-CO"/>
              </w:rPr>
              <w:t xml:space="preserve"> títulos</w:t>
            </w:r>
            <w:r w:rsidR="00F56DAF" w:rsidRPr="00700E68">
              <w:rPr>
                <w:rFonts w:ascii="Arial" w:hAnsi="Arial" w:cs="Arial"/>
                <w:snapToGrid/>
                <w:sz w:val="18"/>
                <w:szCs w:val="18"/>
                <w:lang w:val="es-CO" w:eastAsia="es-CO"/>
              </w:rPr>
              <w:t xml:space="preserve"> de deuda pública </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134004</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Fogafin</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134005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Fogacoop</w:t>
            </w:r>
          </w:p>
        </w:tc>
      </w:tr>
      <w:tr w:rsidR="00F56DAF" w:rsidRPr="00700E68" w:rsidTr="00F56DAF">
        <w:trPr>
          <w:trHeight w:val="45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D60E6" w:rsidRPr="00700E68" w:rsidRDefault="00FD60E6" w:rsidP="00FD52A1">
            <w:pPr>
              <w:jc w:val="center"/>
              <w:rPr>
                <w:rFonts w:ascii="Arial" w:hAnsi="Arial" w:cs="Arial"/>
                <w:snapToGrid/>
                <w:sz w:val="18"/>
                <w:szCs w:val="18"/>
                <w:lang w:val="es-CO" w:eastAsia="es-CO"/>
              </w:rPr>
            </w:pPr>
          </w:p>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134011</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aceptados o garantizados por instituciones vigiladas por la </w:t>
            </w:r>
            <w:r w:rsidR="00AB249D" w:rsidRPr="00700E68">
              <w:rPr>
                <w:rFonts w:ascii="Arial" w:hAnsi="Arial" w:cs="Arial"/>
                <w:snapToGrid/>
                <w:sz w:val="18"/>
                <w:szCs w:val="18"/>
                <w:lang w:val="es-CO" w:eastAsia="es-CO"/>
              </w:rPr>
              <w:t>Superintendencia Bancaria</w:t>
            </w:r>
            <w:r w:rsidR="00F56DAF" w:rsidRPr="00700E68">
              <w:rPr>
                <w:rFonts w:ascii="Arial" w:hAnsi="Arial" w:cs="Arial"/>
                <w:snapToGrid/>
                <w:sz w:val="18"/>
                <w:szCs w:val="18"/>
                <w:lang w:val="es-CO" w:eastAsia="es-CO"/>
              </w:rPr>
              <w:t xml:space="preserve">  (incluidos los bonos obligatoria u opcionalmente convertibles en acciones)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134015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gobiernos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134016</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bancos centrales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134403</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64BEE"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w:t>
            </w:r>
            <w:r w:rsidR="00F56DAF" w:rsidRPr="00700E68">
              <w:rPr>
                <w:rFonts w:ascii="Arial" w:hAnsi="Arial" w:cs="Arial"/>
                <w:snapToGrid/>
                <w:sz w:val="18"/>
                <w:szCs w:val="18"/>
                <w:lang w:val="es-CO" w:eastAsia="es-CO"/>
              </w:rPr>
              <w:t>tros</w:t>
            </w:r>
            <w:r w:rsidR="00AB249D" w:rsidRPr="00700E68">
              <w:rPr>
                <w:rFonts w:ascii="Arial" w:hAnsi="Arial" w:cs="Arial"/>
                <w:snapToGrid/>
                <w:sz w:val="18"/>
                <w:szCs w:val="18"/>
                <w:lang w:val="es-CO" w:eastAsia="es-CO"/>
              </w:rPr>
              <w:t xml:space="preserve"> títulos</w:t>
            </w:r>
            <w:r w:rsidR="00F56DAF" w:rsidRPr="00700E68">
              <w:rPr>
                <w:rFonts w:ascii="Arial" w:hAnsi="Arial" w:cs="Arial"/>
                <w:snapToGrid/>
                <w:sz w:val="18"/>
                <w:szCs w:val="18"/>
                <w:lang w:val="es-CO" w:eastAsia="es-CO"/>
              </w:rPr>
              <w:t xml:space="preserve"> de deuda pública </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134404</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Fogafin</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134405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Fogacoop</w:t>
            </w:r>
          </w:p>
        </w:tc>
      </w:tr>
      <w:tr w:rsidR="00F56DAF" w:rsidRPr="00700E68" w:rsidTr="00F56DAF">
        <w:trPr>
          <w:trHeight w:val="45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134411</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aceptados o garantizados por instituciones vigiladas por la </w:t>
            </w:r>
            <w:r w:rsidR="00AB249D" w:rsidRPr="00700E68">
              <w:rPr>
                <w:rFonts w:ascii="Arial" w:hAnsi="Arial" w:cs="Arial"/>
                <w:snapToGrid/>
                <w:sz w:val="18"/>
                <w:szCs w:val="18"/>
                <w:lang w:val="es-CO" w:eastAsia="es-CO"/>
              </w:rPr>
              <w:t>Superintendencia Bancaria</w:t>
            </w:r>
            <w:r w:rsidR="00F56DAF" w:rsidRPr="00700E68">
              <w:rPr>
                <w:rFonts w:ascii="Arial" w:hAnsi="Arial" w:cs="Arial"/>
                <w:snapToGrid/>
                <w:sz w:val="18"/>
                <w:szCs w:val="18"/>
                <w:lang w:val="es-CO" w:eastAsia="es-CO"/>
              </w:rPr>
              <w:t xml:space="preserve">  (incluidos los bonos obligatoria u opcionalmente convertibles en acciones)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134415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gobiernos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134416</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bancos centrales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134603</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11185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w:t>
            </w:r>
            <w:r w:rsidR="00F56DAF" w:rsidRPr="00700E68">
              <w:rPr>
                <w:rFonts w:ascii="Arial" w:hAnsi="Arial" w:cs="Arial"/>
                <w:snapToGrid/>
                <w:sz w:val="18"/>
                <w:szCs w:val="18"/>
                <w:lang w:val="es-CO" w:eastAsia="es-CO"/>
              </w:rPr>
              <w:t>tros</w:t>
            </w:r>
            <w:r w:rsidR="00AB249D" w:rsidRPr="00700E68">
              <w:rPr>
                <w:rFonts w:ascii="Arial" w:hAnsi="Arial" w:cs="Arial"/>
                <w:snapToGrid/>
                <w:sz w:val="18"/>
                <w:szCs w:val="18"/>
                <w:lang w:val="es-CO" w:eastAsia="es-CO"/>
              </w:rPr>
              <w:t xml:space="preserve"> títulos</w:t>
            </w:r>
            <w:r w:rsidR="00F56DAF" w:rsidRPr="00700E68">
              <w:rPr>
                <w:rFonts w:ascii="Arial" w:hAnsi="Arial" w:cs="Arial"/>
                <w:snapToGrid/>
                <w:sz w:val="18"/>
                <w:szCs w:val="18"/>
                <w:lang w:val="es-CO" w:eastAsia="es-CO"/>
              </w:rPr>
              <w:t xml:space="preserve"> de deuda pública </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134604</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Fogafin</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134605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el Fogacoop</w:t>
            </w:r>
          </w:p>
        </w:tc>
      </w:tr>
      <w:tr w:rsidR="00F56DAF" w:rsidRPr="00700E68" w:rsidTr="00F56DAF">
        <w:trPr>
          <w:trHeight w:val="45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134611</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aceptados o garantizados por instituciones vigiladas por la </w:t>
            </w:r>
            <w:r w:rsidR="00AB249D" w:rsidRPr="00700E68">
              <w:rPr>
                <w:rFonts w:ascii="Arial" w:hAnsi="Arial" w:cs="Arial"/>
                <w:snapToGrid/>
                <w:sz w:val="18"/>
                <w:szCs w:val="18"/>
                <w:lang w:val="es-CO" w:eastAsia="es-CO"/>
              </w:rPr>
              <w:t>Superintendencia Bancaria</w:t>
            </w:r>
            <w:r w:rsidR="00F56DAF" w:rsidRPr="00700E68">
              <w:rPr>
                <w:rFonts w:ascii="Arial" w:hAnsi="Arial" w:cs="Arial"/>
                <w:snapToGrid/>
                <w:sz w:val="18"/>
                <w:szCs w:val="18"/>
                <w:lang w:val="es-CO" w:eastAsia="es-CO"/>
              </w:rPr>
              <w:t xml:space="preserve">  (incluidos los bonos obligatoria u opcionalmente convertibles en acciones)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134615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gobiernos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134616</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avalados o garantizados por bancos centrales extranjeros</w:t>
            </w:r>
          </w:p>
        </w:tc>
      </w:tr>
      <w:tr w:rsidR="00F56DAF" w:rsidRPr="00700E68" w:rsidTr="00F56DAF">
        <w:trPr>
          <w:trHeight w:val="2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191500</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F56DAF"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Gastos anticipados</w:t>
            </w:r>
          </w:p>
        </w:tc>
      </w:tr>
      <w:tr w:rsidR="00F56DAF" w:rsidRPr="00700E68" w:rsidTr="00F56DAF">
        <w:trPr>
          <w:trHeight w:val="45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140</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garantizados incondicionalmente con títulos emitidos por la Nación o por el Banco de la República.</w:t>
            </w:r>
          </w:p>
        </w:tc>
      </w:tr>
      <w:tr w:rsidR="00F56DAF" w:rsidRPr="00700E68" w:rsidTr="00F56DAF">
        <w:trPr>
          <w:trHeight w:val="45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532447" w:rsidRPr="00700E68" w:rsidRDefault="00532447" w:rsidP="00532447">
            <w:pPr>
              <w:jc w:val="center"/>
              <w:rPr>
                <w:rFonts w:ascii="Arial" w:hAnsi="Arial" w:cs="Arial"/>
                <w:snapToGrid/>
                <w:sz w:val="18"/>
                <w:szCs w:val="18"/>
                <w:lang w:val="es-CO" w:eastAsia="es-CO"/>
              </w:rPr>
            </w:pPr>
            <w:r w:rsidRPr="00700E68">
              <w:rPr>
                <w:rFonts w:ascii="Arial" w:hAnsi="Arial" w:cs="Arial"/>
                <w:noProof/>
                <w:snapToGrid/>
                <w:sz w:val="18"/>
                <w:szCs w:val="18"/>
                <w:lang w:val="es-CO" w:eastAsia="es-CO"/>
              </w:rPr>
              <w:lastRenderedPageBreak/>
              <mc:AlternateContent>
                <mc:Choice Requires="wps">
                  <w:drawing>
                    <wp:anchor distT="0" distB="0" distL="114300" distR="114300" simplePos="0" relativeHeight="251671552" behindDoc="0" locked="0" layoutInCell="1" allowOverlap="1" wp14:anchorId="1C6BAFC7" wp14:editId="6A431B77">
                      <wp:simplePos x="0" y="0"/>
                      <wp:positionH relativeFrom="column">
                        <wp:posOffset>-103505</wp:posOffset>
                      </wp:positionH>
                      <wp:positionV relativeFrom="paragraph">
                        <wp:posOffset>-260985</wp:posOffset>
                      </wp:positionV>
                      <wp:extent cx="0" cy="9598660"/>
                      <wp:effectExtent l="0" t="0" r="19050" b="2159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9866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8.15pt;margin-top:-20.55pt;width:0;height:75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" strokecolor="black [3213]"/>
                  </w:pict>
                </mc:Fallback>
              </mc:AlternateContent>
            </w:r>
          </w:p>
          <w:p w:rsidR="00F56DAF" w:rsidRPr="00700E68" w:rsidRDefault="00F56DAF" w:rsidP="00532447">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145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garantizados incondicionalmente con títulos emitidos por la Nación o por el Banco de la República.</w:t>
            </w:r>
          </w:p>
        </w:tc>
      </w:tr>
      <w:tr w:rsidR="00F56DAF" w:rsidRPr="00700E68" w:rsidTr="00F33D82">
        <w:trPr>
          <w:trHeight w:val="214"/>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150</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F56DAF"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garantizados incondicionalmente con</w:t>
            </w:r>
            <w:r w:rsidR="00AB249D" w:rsidRPr="00700E68">
              <w:rPr>
                <w:rFonts w:ascii="Arial" w:hAnsi="Arial" w:cs="Arial"/>
                <w:snapToGrid/>
                <w:sz w:val="18"/>
                <w:szCs w:val="18"/>
                <w:lang w:val="es-CO" w:eastAsia="es-CO"/>
              </w:rPr>
              <w:t xml:space="preserve"> títulos</w:t>
            </w:r>
            <w:r w:rsidRPr="00700E68">
              <w:rPr>
                <w:rFonts w:ascii="Arial" w:hAnsi="Arial" w:cs="Arial"/>
                <w:snapToGrid/>
                <w:sz w:val="18"/>
                <w:szCs w:val="18"/>
                <w:lang w:val="es-CO" w:eastAsia="es-CO"/>
              </w:rPr>
              <w:t xml:space="preserve"> emitidos por los gobiernos, bancos centrales o entidades multilaterales cuyos</w:t>
            </w:r>
            <w:r w:rsidR="00AB249D" w:rsidRPr="00700E68">
              <w:rPr>
                <w:rFonts w:ascii="Arial" w:hAnsi="Arial" w:cs="Arial"/>
                <w:snapToGrid/>
                <w:sz w:val="18"/>
                <w:szCs w:val="18"/>
                <w:lang w:val="es-CO" w:eastAsia="es-CO"/>
              </w:rPr>
              <w:t xml:space="preserve"> títulos</w:t>
            </w:r>
            <w:r w:rsidRPr="00700E68">
              <w:rPr>
                <w:rFonts w:ascii="Arial" w:hAnsi="Arial" w:cs="Arial"/>
                <w:snapToGrid/>
                <w:sz w:val="18"/>
                <w:szCs w:val="18"/>
                <w:lang w:val="es-CO" w:eastAsia="es-CO"/>
              </w:rPr>
              <w:t xml:space="preserve"> tengan calificación no inferior a "AA-" o "A1" de Standard and Poor's o sus equivalentes en las calificaciones de Fitch Ratings Colombia S.A. o Moody's Investors Service, mientras mantengan las referidas calificaciones.</w:t>
            </w:r>
          </w:p>
        </w:tc>
      </w:tr>
      <w:tr w:rsidR="00F56DAF" w:rsidRPr="00700E68" w:rsidTr="00F56DAF">
        <w:trPr>
          <w:trHeight w:val="90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155</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garantizados incondicionalmente con títulos emitidos por los gobiernos, bancos centrales o entidades multilaterales cuyos títulos tengan calificación no inferior a "AA-" o "A1" de Standard and Poor's o sus equivalentes en las calificaciones de Fitch Ratings Colombia S.A. o de Moody's Investors Service, mientras mantengan las referidas calificaciones.</w:t>
            </w:r>
          </w:p>
        </w:tc>
      </w:tr>
      <w:tr w:rsidR="00F56DAF" w:rsidRPr="00700E68" w:rsidTr="00F56DAF">
        <w:trPr>
          <w:trHeight w:val="67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180</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Derechos fiduciarios constituidos en desarrollo de procesos de titularización de activos de alta seguridad que clasifiquen en la  categoría II de acuerdo con lo establecido en el Capítulo 3 del Título 1 del Libro 1 de la Parte 2 del Decreto 2555 de 2010.</w:t>
            </w:r>
          </w:p>
        </w:tc>
      </w:tr>
      <w:tr w:rsidR="00F56DAF" w:rsidRPr="00700E68" w:rsidTr="00F56DAF">
        <w:trPr>
          <w:trHeight w:val="67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363</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6D268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Aeronaves entregadas en leasing financiero a la Nación o empresas comerciales del estado contabilizados en el grupo 14, netos de provisiones y amortización (Capítulo 3 del Título 1 del Libro 1 de la Parte 2 del Decreto 2555 de 2010).</w:t>
            </w:r>
          </w:p>
        </w:tc>
      </w:tr>
      <w:tr w:rsidR="00F56DAF" w:rsidRPr="00700E68" w:rsidTr="00F56DAF">
        <w:trPr>
          <w:trHeight w:val="67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364</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6D268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Aeronaves entregadas en leasing operativo a la Nación o empresas comerciales del estado contabilizados en la cuenta 1861, netos de provisiones y amortización (Capítulo 3 del Título 1 del Libro 1 de la Parte 2 del Decreto 2555 de 2010).</w:t>
            </w:r>
          </w:p>
        </w:tc>
      </w:tr>
      <w:tr w:rsidR="00F56DAF" w:rsidRPr="00700E68" w:rsidTr="00F56DAF">
        <w:trPr>
          <w:trHeight w:val="67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397</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forzosas adquiridas por la entidad para cumplir con disposiciones legales o reglamentarias clasificadas dentro de la categoría II (ponderan al 20%) de acuerdo con lo establecido en el Capítulo 3 del Título 1 del Libro 1 de la Parte 2 del Decreto 2555 de 2010.</w:t>
            </w:r>
          </w:p>
        </w:tc>
      </w:tr>
      <w:tr w:rsidR="00F56DAF" w:rsidRPr="00700E68" w:rsidTr="00F56DAF">
        <w:trPr>
          <w:trHeight w:val="112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421</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w:t>
            </w:r>
            <w:r w:rsidR="00F56DAF" w:rsidRPr="00700E68">
              <w:rPr>
                <w:rFonts w:ascii="Arial" w:hAnsi="Arial" w:cs="Arial"/>
                <w:snapToGrid/>
                <w:sz w:val="18"/>
                <w:szCs w:val="18"/>
                <w:lang w:val="es-CO" w:eastAsia="es-CO"/>
              </w:rPr>
              <w:t xml:space="preserve"> emitidos por el Fondo de Garantías de Instituciones Financieras "Fogafin" destinados a la capitalización de establecimientos de crédito en cuyo capital participen entidades públicas o en los cuales exista participación de recursos públicos, siempre que el principal y los intereses de dichos</w:t>
            </w:r>
            <w:r w:rsidR="00AB249D" w:rsidRPr="00700E68">
              <w:rPr>
                <w:rFonts w:ascii="Arial" w:hAnsi="Arial" w:cs="Arial"/>
                <w:snapToGrid/>
                <w:sz w:val="18"/>
                <w:szCs w:val="18"/>
                <w:lang w:val="es-CO" w:eastAsia="es-CO"/>
              </w:rPr>
              <w:t xml:space="preserve"> títulos</w:t>
            </w:r>
            <w:r w:rsidR="00F56DAF" w:rsidRPr="00700E68">
              <w:rPr>
                <w:rFonts w:ascii="Arial" w:hAnsi="Arial" w:cs="Arial"/>
                <w:snapToGrid/>
                <w:sz w:val="18"/>
                <w:szCs w:val="18"/>
                <w:lang w:val="es-CO" w:eastAsia="es-CO"/>
              </w:rPr>
              <w:t xml:space="preserve"> se paguen con recursos que la Nación se haya comprometido a entregar al Fogafin, contabilizados como inversión o como derecho de recompra de inversiones.</w:t>
            </w:r>
          </w:p>
        </w:tc>
      </w:tr>
      <w:tr w:rsidR="00F56DAF" w:rsidRPr="00700E68" w:rsidTr="00F56DAF">
        <w:trPr>
          <w:trHeight w:val="90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428</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Exposición crediticia de instrumentos financieros derivados siempre que la contraparte sea una entidad vigilada por la Superintendencia Financiera de Colombia distinta del Banco de la República, o una entidad pública de orden nacional, o un fondo mutuo de inversión controlado, de acuerdo con lo señalado en el artículo 2.1.1.3.2 del Decreto 2555 de 2010.</w:t>
            </w:r>
          </w:p>
        </w:tc>
      </w:tr>
      <w:tr w:rsidR="00F56DAF" w:rsidRPr="00700E68" w:rsidTr="00F56DAF">
        <w:trPr>
          <w:trHeight w:val="45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501</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efectuadas en títulos  derivados de procesos de titularización con calificación de largo plazo, efectuada por agencia calificadora autorizada por la SFC sea igual a: AAA, AA+, AA y AA-.</w:t>
            </w:r>
          </w:p>
        </w:tc>
      </w:tr>
      <w:tr w:rsidR="00F56DAF" w:rsidRPr="00700E68" w:rsidTr="00F56DAF">
        <w:trPr>
          <w:trHeight w:val="45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D60E6" w:rsidRPr="00700E68" w:rsidRDefault="00FD60E6" w:rsidP="00FD52A1">
            <w:pPr>
              <w:jc w:val="center"/>
              <w:rPr>
                <w:rFonts w:ascii="Arial" w:hAnsi="Arial" w:cs="Arial"/>
                <w:snapToGrid/>
                <w:sz w:val="18"/>
                <w:szCs w:val="18"/>
                <w:lang w:val="es-CO" w:eastAsia="es-CO"/>
              </w:rPr>
            </w:pPr>
          </w:p>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511</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efectuadas en títulos  derivados de procesos de titularización con calificación de corto plazo, efectuada por agencia calificadora autorizada  por la SFC sea igual a: 1+, 1, y 1-.</w:t>
            </w:r>
          </w:p>
        </w:tc>
      </w:tr>
      <w:tr w:rsidR="00F56DAF" w:rsidRPr="00700E68" w:rsidTr="009512F7">
        <w:trPr>
          <w:trHeight w:val="767"/>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F56DAF" w:rsidRPr="00700E68" w:rsidRDefault="00F56DAF"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521</w:t>
            </w:r>
          </w:p>
        </w:tc>
        <w:tc>
          <w:tcPr>
            <w:tcW w:w="7720" w:type="dxa"/>
            <w:tcBorders>
              <w:top w:val="nil"/>
              <w:left w:val="nil"/>
              <w:bottom w:val="single" w:sz="4" w:space="0" w:color="auto"/>
              <w:right w:val="single" w:sz="4" w:space="0" w:color="auto"/>
            </w:tcBorders>
            <w:shd w:val="clear" w:color="99CC00" w:fill="auto"/>
            <w:vAlign w:val="center"/>
            <w:hideMark/>
          </w:tcPr>
          <w:p w:rsidR="00F56DAF"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La exposición neta positiva  en las operaciones de reporto o repo, operaciones simultáneas y operaciones de transferencia temporal de valores siempre que la contraparte sea una entidad vigilada por la SFC distinta del Banco de la República, o una entidad pública de orden nacional o un fondo mutuo de inversión controlado, clasificada en la categoría II de acuerdo con lo señalado en el artículo 2.1.1.3.2 del Decreto 2555 de 2010.</w:t>
            </w:r>
          </w:p>
        </w:tc>
      </w:tr>
    </w:tbl>
    <w:p w:rsidR="00F56DAF" w:rsidRPr="00700E68" w:rsidRDefault="00F56DAF" w:rsidP="00FD52A1">
      <w:pPr>
        <w:jc w:val="both"/>
        <w:rPr>
          <w:rFonts w:ascii="Arial" w:hAnsi="Arial" w:cs="Arial"/>
          <w:b/>
          <w:sz w:val="18"/>
          <w:szCs w:val="18"/>
          <w:lang w:val="es-CO"/>
        </w:rPr>
      </w:pPr>
    </w:p>
    <w:p w:rsidR="008222BC" w:rsidRPr="00700E68" w:rsidRDefault="008222BC" w:rsidP="009E3550">
      <w:pPr>
        <w:pStyle w:val="Prrafodelista"/>
        <w:numPr>
          <w:ilvl w:val="2"/>
          <w:numId w:val="21"/>
        </w:numPr>
        <w:ind w:left="851" w:hanging="851"/>
        <w:jc w:val="both"/>
        <w:rPr>
          <w:rFonts w:ascii="Arial" w:hAnsi="Arial" w:cs="Arial"/>
          <w:b/>
          <w:sz w:val="18"/>
          <w:szCs w:val="18"/>
        </w:rPr>
      </w:pPr>
      <w:r w:rsidRPr="00700E68">
        <w:rPr>
          <w:rFonts w:ascii="Arial" w:hAnsi="Arial" w:cs="Arial"/>
          <w:b/>
          <w:sz w:val="18"/>
          <w:szCs w:val="18"/>
        </w:rPr>
        <w:t>Activ</w:t>
      </w:r>
      <w:r w:rsidR="0047780A" w:rsidRPr="00700E68">
        <w:rPr>
          <w:rFonts w:ascii="Arial" w:hAnsi="Arial" w:cs="Arial"/>
          <w:b/>
          <w:sz w:val="18"/>
          <w:szCs w:val="18"/>
        </w:rPr>
        <w:t>os que pondera</w:t>
      </w:r>
      <w:r w:rsidRPr="00700E68">
        <w:rPr>
          <w:rFonts w:ascii="Arial" w:hAnsi="Arial" w:cs="Arial"/>
          <w:b/>
          <w:sz w:val="18"/>
          <w:szCs w:val="18"/>
        </w:rPr>
        <w:t xml:space="preserve">n por riesgo crediticio </w:t>
      </w:r>
      <w:r w:rsidR="0047780A" w:rsidRPr="00700E68">
        <w:rPr>
          <w:rFonts w:ascii="Arial" w:hAnsi="Arial" w:cs="Arial"/>
          <w:b/>
          <w:sz w:val="18"/>
          <w:szCs w:val="18"/>
        </w:rPr>
        <w:t>al</w:t>
      </w:r>
      <w:r w:rsidRPr="00700E68">
        <w:rPr>
          <w:rFonts w:ascii="Arial" w:hAnsi="Arial" w:cs="Arial"/>
          <w:b/>
          <w:sz w:val="18"/>
          <w:szCs w:val="18"/>
        </w:rPr>
        <w:t xml:space="preserve"> </w:t>
      </w:r>
      <w:r w:rsidR="0047780A" w:rsidRPr="00700E68">
        <w:rPr>
          <w:rFonts w:ascii="Arial" w:hAnsi="Arial" w:cs="Arial"/>
          <w:b/>
          <w:sz w:val="18"/>
          <w:szCs w:val="18"/>
        </w:rPr>
        <w:t>cincuenta por ciento (</w:t>
      </w:r>
      <w:r w:rsidRPr="00700E68">
        <w:rPr>
          <w:rFonts w:ascii="Arial" w:hAnsi="Arial" w:cs="Arial"/>
          <w:b/>
          <w:sz w:val="18"/>
          <w:szCs w:val="18"/>
        </w:rPr>
        <w:t>50%):</w:t>
      </w:r>
    </w:p>
    <w:p w:rsidR="00264BEE" w:rsidRPr="00700E68" w:rsidRDefault="00264BEE" w:rsidP="00FD52A1">
      <w:pPr>
        <w:pStyle w:val="Prrafodelista"/>
        <w:jc w:val="both"/>
        <w:rPr>
          <w:rFonts w:ascii="Arial" w:hAnsi="Arial" w:cs="Arial"/>
          <w:sz w:val="18"/>
          <w:szCs w:val="18"/>
        </w:rPr>
      </w:pPr>
    </w:p>
    <w:tbl>
      <w:tblPr>
        <w:tblW w:w="9360" w:type="dxa"/>
        <w:tblInd w:w="65" w:type="dxa"/>
        <w:tblCellMar>
          <w:left w:w="70" w:type="dxa"/>
          <w:right w:w="70" w:type="dxa"/>
        </w:tblCellMar>
        <w:tblLook w:val="04A0" w:firstRow="1" w:lastRow="0" w:firstColumn="1" w:lastColumn="0" w:noHBand="0" w:noVBand="1"/>
      </w:tblPr>
      <w:tblGrid>
        <w:gridCol w:w="821"/>
        <w:gridCol w:w="1061"/>
        <w:gridCol w:w="7478"/>
      </w:tblGrid>
      <w:tr w:rsidR="00264BEE" w:rsidRPr="00700E68" w:rsidTr="00A21FC8">
        <w:trPr>
          <w:trHeight w:val="205"/>
          <w:tblHeader/>
        </w:trPr>
        <w:tc>
          <w:tcPr>
            <w:tcW w:w="821"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264BEE" w:rsidRPr="00700E68" w:rsidRDefault="00264BEE"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Reporte</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rsidR="00264BEE" w:rsidRPr="00700E68" w:rsidRDefault="00264BEE" w:rsidP="00FD52A1">
            <w:pPr>
              <w:jc w:val="center"/>
              <w:rPr>
                <w:rFonts w:ascii="Arial" w:hAnsi="Arial" w:cs="Arial"/>
                <w:b/>
                <w:bCs/>
                <w:snapToGrid/>
                <w:color w:val="000000"/>
                <w:sz w:val="18"/>
                <w:szCs w:val="18"/>
                <w:lang w:val="es-CO" w:eastAsia="es-CO"/>
              </w:rPr>
            </w:pPr>
            <w:r w:rsidRPr="00700E68">
              <w:rPr>
                <w:rFonts w:ascii="Arial" w:hAnsi="Arial" w:cs="Arial"/>
                <w:b/>
                <w:bCs/>
                <w:snapToGrid/>
                <w:color w:val="000000"/>
                <w:sz w:val="18"/>
                <w:szCs w:val="18"/>
                <w:lang w:val="es-CO" w:eastAsia="es-CO"/>
              </w:rPr>
              <w:t>Cuenta/</w:t>
            </w:r>
            <w:r w:rsidRPr="00700E68">
              <w:rPr>
                <w:rFonts w:ascii="Arial" w:hAnsi="Arial" w:cs="Arial"/>
                <w:b/>
                <w:bCs/>
                <w:snapToGrid/>
                <w:color w:val="000000"/>
                <w:sz w:val="18"/>
                <w:szCs w:val="18"/>
                <w:lang w:val="es-CO" w:eastAsia="es-CO"/>
              </w:rPr>
              <w:br/>
              <w:t>Subcuenta</w:t>
            </w:r>
          </w:p>
        </w:tc>
        <w:tc>
          <w:tcPr>
            <w:tcW w:w="7478" w:type="dxa"/>
            <w:tcBorders>
              <w:top w:val="single" w:sz="4" w:space="0" w:color="auto"/>
              <w:left w:val="nil"/>
              <w:bottom w:val="single" w:sz="4" w:space="0" w:color="auto"/>
              <w:right w:val="single" w:sz="4" w:space="0" w:color="auto"/>
            </w:tcBorders>
            <w:shd w:val="clear" w:color="99CC00" w:fill="D9D9D9"/>
            <w:vAlign w:val="center"/>
            <w:hideMark/>
          </w:tcPr>
          <w:p w:rsidR="00264BEE" w:rsidRPr="00700E68" w:rsidRDefault="00264BEE"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Denominación</w:t>
            </w:r>
          </w:p>
        </w:tc>
      </w:tr>
      <w:tr w:rsidR="00264BEE" w:rsidRPr="00700E68" w:rsidTr="00A21FC8">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199500</w:t>
            </w:r>
          </w:p>
        </w:tc>
        <w:tc>
          <w:tcPr>
            <w:tcW w:w="7478" w:type="dxa"/>
            <w:tcBorders>
              <w:top w:val="nil"/>
              <w:left w:val="nil"/>
              <w:bottom w:val="single" w:sz="4" w:space="0" w:color="auto"/>
              <w:right w:val="single" w:sz="4" w:space="0" w:color="auto"/>
            </w:tcBorders>
            <w:shd w:val="clear" w:color="99CC00" w:fill="auto"/>
            <w:vAlign w:val="center"/>
            <w:hideMark/>
          </w:tcPr>
          <w:p w:rsidR="00264BEE" w:rsidRPr="00700E68" w:rsidRDefault="00D022D1"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V</w:t>
            </w:r>
            <w:r w:rsidR="00264BEE" w:rsidRPr="00700E68">
              <w:rPr>
                <w:rFonts w:ascii="Arial" w:hAnsi="Arial" w:cs="Arial"/>
                <w:snapToGrid/>
                <w:sz w:val="18"/>
                <w:szCs w:val="18"/>
                <w:lang w:val="es-CO" w:eastAsia="es-CO"/>
              </w:rPr>
              <w:t>alorizaciones</w:t>
            </w:r>
          </w:p>
        </w:tc>
      </w:tr>
      <w:tr w:rsidR="006B46D4" w:rsidRPr="00700E68" w:rsidTr="00A21FC8">
        <w:trPr>
          <w:trHeight w:val="450"/>
        </w:trPr>
        <w:tc>
          <w:tcPr>
            <w:tcW w:w="821" w:type="dxa"/>
            <w:tcBorders>
              <w:top w:val="nil"/>
              <w:left w:val="single" w:sz="4" w:space="0" w:color="auto"/>
              <w:bottom w:val="single" w:sz="4" w:space="0" w:color="auto"/>
              <w:right w:val="single" w:sz="4" w:space="0" w:color="auto"/>
            </w:tcBorders>
            <w:shd w:val="clear" w:color="99CC00" w:fill="auto"/>
            <w:noWrap/>
            <w:vAlign w:val="center"/>
          </w:tcPr>
          <w:p w:rsidR="006B46D4" w:rsidRPr="00700E68" w:rsidRDefault="006B46D4"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tcPr>
          <w:p w:rsidR="006B46D4" w:rsidRPr="00700E68" w:rsidRDefault="006B46D4"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-675</w:t>
            </w:r>
          </w:p>
        </w:tc>
        <w:tc>
          <w:tcPr>
            <w:tcW w:w="7478" w:type="dxa"/>
            <w:tcBorders>
              <w:top w:val="nil"/>
              <w:left w:val="nil"/>
              <w:bottom w:val="single" w:sz="4" w:space="0" w:color="auto"/>
              <w:right w:val="single" w:sz="4" w:space="0" w:color="auto"/>
            </w:tcBorders>
            <w:shd w:val="clear" w:color="99CC00" w:fill="auto"/>
            <w:vAlign w:val="center"/>
          </w:tcPr>
          <w:p w:rsidR="006B46D4" w:rsidRPr="00700E68" w:rsidRDefault="006B46D4"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Valorizaciones en  las inversiones de las que trata la subcuenta 082 que estén clasificadas como disponibles para la venta en títulos participativos de baja, mínima o ninguna bursatilidad, y aquellos no listados en bolsa.</w:t>
            </w:r>
          </w:p>
        </w:tc>
      </w:tr>
      <w:tr w:rsidR="006B46D4" w:rsidRPr="00700E68" w:rsidTr="00A21FC8">
        <w:trPr>
          <w:trHeight w:val="450"/>
        </w:trPr>
        <w:tc>
          <w:tcPr>
            <w:tcW w:w="821" w:type="dxa"/>
            <w:tcBorders>
              <w:top w:val="nil"/>
              <w:left w:val="single" w:sz="4" w:space="0" w:color="auto"/>
              <w:bottom w:val="single" w:sz="4" w:space="0" w:color="auto"/>
              <w:right w:val="single" w:sz="4" w:space="0" w:color="auto"/>
            </w:tcBorders>
            <w:shd w:val="clear" w:color="99CC00" w:fill="auto"/>
            <w:noWrap/>
            <w:vAlign w:val="center"/>
          </w:tcPr>
          <w:p w:rsidR="006B46D4" w:rsidRPr="00700E68" w:rsidRDefault="006B46D4"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tcPr>
          <w:p w:rsidR="006B46D4" w:rsidRPr="00700E68" w:rsidRDefault="006B46D4"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-676</w:t>
            </w:r>
          </w:p>
        </w:tc>
        <w:tc>
          <w:tcPr>
            <w:tcW w:w="7478" w:type="dxa"/>
            <w:tcBorders>
              <w:top w:val="nil"/>
              <w:left w:val="nil"/>
              <w:bottom w:val="single" w:sz="4" w:space="0" w:color="auto"/>
              <w:right w:val="single" w:sz="4" w:space="0" w:color="auto"/>
            </w:tcBorders>
            <w:shd w:val="clear" w:color="99CC00" w:fill="auto"/>
            <w:vAlign w:val="center"/>
          </w:tcPr>
          <w:p w:rsidR="006B46D4" w:rsidRPr="00700E68" w:rsidRDefault="006B46D4" w:rsidP="006B46D4">
            <w:pPr>
              <w:jc w:val="both"/>
              <w:rPr>
                <w:rFonts w:ascii="Arial" w:hAnsi="Arial" w:cs="Arial"/>
                <w:snapToGrid/>
                <w:sz w:val="18"/>
                <w:szCs w:val="18"/>
                <w:lang w:val="es-CO" w:eastAsia="es-CO"/>
              </w:rPr>
            </w:pPr>
            <w:r w:rsidRPr="00700E68">
              <w:rPr>
                <w:rFonts w:ascii="Arial" w:hAnsi="Arial" w:cs="Arial"/>
                <w:snapToGrid/>
                <w:sz w:val="18"/>
                <w:szCs w:val="18"/>
                <w:lang w:val="es-CO" w:eastAsia="es-CO"/>
              </w:rPr>
              <w:t>Valorizaciones en  las inversiones de las que trata la subcuenta 650 que estén clasificadas como disponibles para la venta en títulos participativos de baja, mínima o ninguna bursatilidad, y aquellos no listados en bolsa.</w:t>
            </w:r>
          </w:p>
        </w:tc>
      </w:tr>
      <w:tr w:rsidR="006B46D4" w:rsidRPr="00700E68" w:rsidTr="00A21FC8">
        <w:trPr>
          <w:trHeight w:val="450"/>
        </w:trPr>
        <w:tc>
          <w:tcPr>
            <w:tcW w:w="821" w:type="dxa"/>
            <w:tcBorders>
              <w:top w:val="nil"/>
              <w:left w:val="single" w:sz="4" w:space="0" w:color="auto"/>
              <w:bottom w:val="single" w:sz="4" w:space="0" w:color="auto"/>
              <w:right w:val="single" w:sz="4" w:space="0" w:color="auto"/>
            </w:tcBorders>
            <w:shd w:val="clear" w:color="99CC00" w:fill="auto"/>
            <w:noWrap/>
            <w:vAlign w:val="center"/>
          </w:tcPr>
          <w:p w:rsidR="006B46D4" w:rsidRPr="00700E68" w:rsidRDefault="006B46D4"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tcPr>
          <w:p w:rsidR="006B46D4" w:rsidRPr="00700E68" w:rsidRDefault="006B46D4"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+680</w:t>
            </w:r>
          </w:p>
        </w:tc>
        <w:tc>
          <w:tcPr>
            <w:tcW w:w="7478" w:type="dxa"/>
            <w:tcBorders>
              <w:top w:val="nil"/>
              <w:left w:val="nil"/>
              <w:bottom w:val="single" w:sz="4" w:space="0" w:color="auto"/>
              <w:right w:val="single" w:sz="4" w:space="0" w:color="auto"/>
            </w:tcBorders>
            <w:shd w:val="clear" w:color="99CC00" w:fill="auto"/>
            <w:vAlign w:val="center"/>
          </w:tcPr>
          <w:p w:rsidR="006B46D4" w:rsidRPr="00700E68" w:rsidRDefault="006B46D4"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Valorizaciones en  las inversiones de las que trata la subcuenta 655 que estén clasificadas como disponibles para la venta en títulos participativos de baja, mínima o ninguna bursatilidad, y aquellos no listados en bolsa.</w:t>
            </w:r>
          </w:p>
        </w:tc>
      </w:tr>
      <w:tr w:rsidR="00264BEE" w:rsidRPr="00700E68" w:rsidTr="00A21FC8">
        <w:trPr>
          <w:trHeight w:val="450"/>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109</w:t>
            </w:r>
          </w:p>
        </w:tc>
        <w:tc>
          <w:tcPr>
            <w:tcW w:w="7478" w:type="dxa"/>
            <w:tcBorders>
              <w:top w:val="nil"/>
              <w:left w:val="nil"/>
              <w:bottom w:val="single" w:sz="4" w:space="0" w:color="auto"/>
              <w:right w:val="single" w:sz="4" w:space="0" w:color="auto"/>
            </w:tcBorders>
            <w:shd w:val="clear" w:color="99CC00" w:fill="auto"/>
            <w:vAlign w:val="center"/>
            <w:hideMark/>
          </w:tcPr>
          <w:p w:rsidR="00264BEE" w:rsidRPr="00700E68" w:rsidRDefault="0042684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para vivienda garantizados con contratos irrevocables de fiducia mercantil en garantía del inmueble financiado (Decreto 2348/95), distintos de aquellos que hayan sido  reestructurados.</w:t>
            </w:r>
          </w:p>
        </w:tc>
      </w:tr>
      <w:tr w:rsidR="00264BEE" w:rsidRPr="00700E68" w:rsidTr="00A21FC8">
        <w:trPr>
          <w:trHeight w:val="67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111</w:t>
            </w:r>
          </w:p>
        </w:tc>
        <w:tc>
          <w:tcPr>
            <w:tcW w:w="7478" w:type="dxa"/>
            <w:tcBorders>
              <w:top w:val="nil"/>
              <w:left w:val="nil"/>
              <w:bottom w:val="single" w:sz="4" w:space="0" w:color="auto"/>
              <w:right w:val="single" w:sz="4" w:space="0" w:color="auto"/>
            </w:tcBorders>
            <w:shd w:val="clear" w:color="99CC00" w:fill="auto"/>
            <w:vAlign w:val="center"/>
            <w:hideMark/>
          </w:tcPr>
          <w:p w:rsidR="00264BEE" w:rsidRPr="00700E68" w:rsidRDefault="0042684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Créditos para vivienda con garantía hipotecaria, distintos de aquellos que hayan sido reestructurados, cuya calificación de acuerdo con las normas de la SFC sea diferente de "C", "D" y "E".  </w:t>
            </w:r>
          </w:p>
        </w:tc>
      </w:tr>
      <w:tr w:rsidR="00264BEE" w:rsidRPr="00700E68" w:rsidTr="00A21FC8">
        <w:trPr>
          <w:trHeight w:val="450"/>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112</w:t>
            </w:r>
          </w:p>
        </w:tc>
        <w:tc>
          <w:tcPr>
            <w:tcW w:w="7478" w:type="dxa"/>
            <w:tcBorders>
              <w:top w:val="nil"/>
              <w:left w:val="nil"/>
              <w:bottom w:val="single" w:sz="4" w:space="0" w:color="auto"/>
              <w:right w:val="single" w:sz="4" w:space="0" w:color="auto"/>
            </w:tcBorders>
            <w:shd w:val="clear" w:color="99CC00" w:fill="auto"/>
            <w:vAlign w:val="center"/>
            <w:hideMark/>
          </w:tcPr>
          <w:p w:rsidR="00264BEE" w:rsidRPr="00700E68" w:rsidRDefault="00264BEE"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Créditos para vivienda reestructurados cuya calificación crediticia, de acuerdo con las normas de la SFC, mejore a "A" o "B". </w:t>
            </w:r>
          </w:p>
        </w:tc>
      </w:tr>
      <w:tr w:rsidR="00264BEE" w:rsidRPr="00700E68" w:rsidTr="00A21FC8">
        <w:trPr>
          <w:trHeight w:val="67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532447" w:rsidRPr="00700E68" w:rsidRDefault="00532447" w:rsidP="00FD52A1">
            <w:pPr>
              <w:jc w:val="center"/>
              <w:rPr>
                <w:rFonts w:ascii="Arial" w:hAnsi="Arial" w:cs="Arial"/>
                <w:snapToGrid/>
                <w:sz w:val="18"/>
                <w:szCs w:val="18"/>
                <w:lang w:val="es-CO" w:eastAsia="es-CO"/>
              </w:rPr>
            </w:pPr>
            <w:r w:rsidRPr="00700E68">
              <w:rPr>
                <w:rFonts w:ascii="Arial" w:hAnsi="Arial" w:cs="Arial"/>
                <w:noProof/>
                <w:snapToGrid/>
                <w:sz w:val="18"/>
                <w:szCs w:val="18"/>
                <w:lang w:val="es-CO" w:eastAsia="es-CO"/>
              </w:rPr>
              <w:lastRenderedPageBreak/>
              <mc:AlternateContent>
                <mc:Choice Requires="wps">
                  <w:drawing>
                    <wp:anchor distT="0" distB="0" distL="114300" distR="114300" simplePos="0" relativeHeight="251730944" behindDoc="0" locked="0" layoutInCell="1" allowOverlap="1" wp14:anchorId="2B818A96" wp14:editId="23AE549E">
                      <wp:simplePos x="0" y="0"/>
                      <wp:positionH relativeFrom="column">
                        <wp:posOffset>-112395</wp:posOffset>
                      </wp:positionH>
                      <wp:positionV relativeFrom="paragraph">
                        <wp:posOffset>-280670</wp:posOffset>
                      </wp:positionV>
                      <wp:extent cx="0" cy="9737725"/>
                      <wp:effectExtent l="0" t="0" r="19050" b="15875"/>
                      <wp:wrapNone/>
                      <wp:docPr id="15" name="15 Conector recto"/>
                      <wp:cNvGraphicFramePr/>
                      <a:graphic xmlns:a="http://schemas.openxmlformats.org/drawingml/2006/main">
                        <a:graphicData uri="http://schemas.microsoft.com/office/word/2010/wordprocessingShape">
                          <wps:wsp>
                            <wps:cNvCnPr/>
                            <wps:spPr>
                              <a:xfrm>
                                <a:off x="0" y="0"/>
                                <a:ext cx="0" cy="973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5 Conector recto"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2.1pt" to="-8.85pt,7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" strokecolor="black [3213]"/>
                  </w:pict>
                </mc:Fallback>
              </mc:AlternateContent>
            </w:r>
          </w:p>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116</w:t>
            </w:r>
          </w:p>
        </w:tc>
        <w:tc>
          <w:tcPr>
            <w:tcW w:w="7478" w:type="dxa"/>
            <w:tcBorders>
              <w:top w:val="nil"/>
              <w:left w:val="nil"/>
              <w:bottom w:val="single" w:sz="4" w:space="0" w:color="auto"/>
              <w:right w:val="single" w:sz="4" w:space="0" w:color="auto"/>
            </w:tcBorders>
            <w:shd w:val="clear" w:color="99CC00" w:fill="auto"/>
            <w:vAlign w:val="center"/>
            <w:hideMark/>
          </w:tcPr>
          <w:p w:rsidR="00264BEE"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para vivienda con garantía hipotecaria, distintos de aquellos que hayan sido reestructurados, cuya calificación de acuerdo con las normas de la SFC sea diferente de "C", "D" y "E".</w:t>
            </w:r>
          </w:p>
        </w:tc>
      </w:tr>
      <w:tr w:rsidR="00264BEE" w:rsidRPr="00700E68" w:rsidTr="00A21FC8">
        <w:trPr>
          <w:trHeight w:val="450"/>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117</w:t>
            </w:r>
          </w:p>
        </w:tc>
        <w:tc>
          <w:tcPr>
            <w:tcW w:w="7478" w:type="dxa"/>
            <w:tcBorders>
              <w:top w:val="nil"/>
              <w:left w:val="nil"/>
              <w:bottom w:val="single" w:sz="4" w:space="0" w:color="auto"/>
              <w:right w:val="single" w:sz="4" w:space="0" w:color="auto"/>
            </w:tcBorders>
            <w:shd w:val="clear" w:color="99CC00" w:fill="auto"/>
            <w:vAlign w:val="center"/>
            <w:hideMark/>
          </w:tcPr>
          <w:p w:rsidR="00264BEE"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para vivienda reestructurados cuya calificación crediticia de acuerdo con las normas de la SFC mejore a "A" o "B".</w:t>
            </w:r>
          </w:p>
        </w:tc>
      </w:tr>
      <w:tr w:rsidR="00264BEE" w:rsidRPr="00700E68" w:rsidTr="00A21FC8">
        <w:trPr>
          <w:trHeight w:val="67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121</w:t>
            </w:r>
          </w:p>
        </w:tc>
        <w:tc>
          <w:tcPr>
            <w:tcW w:w="7478" w:type="dxa"/>
            <w:tcBorders>
              <w:top w:val="nil"/>
              <w:left w:val="nil"/>
              <w:bottom w:val="single" w:sz="4" w:space="0" w:color="auto"/>
              <w:right w:val="single" w:sz="4" w:space="0" w:color="auto"/>
            </w:tcBorders>
            <w:shd w:val="clear" w:color="99CC00" w:fill="auto"/>
            <w:vAlign w:val="center"/>
            <w:hideMark/>
          </w:tcPr>
          <w:p w:rsidR="00264BEE"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para vivienda garantizados con contratos irrevocables de fiducia mercantil en garantía del inmueble financiado (Decreto 2348/95), distintos de aquellos que hayan sido reestructurados.</w:t>
            </w:r>
          </w:p>
        </w:tc>
      </w:tr>
      <w:tr w:rsidR="00264BEE" w:rsidRPr="00700E68" w:rsidTr="00A21FC8">
        <w:trPr>
          <w:trHeight w:val="41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166</w:t>
            </w:r>
          </w:p>
        </w:tc>
        <w:tc>
          <w:tcPr>
            <w:tcW w:w="7478" w:type="dxa"/>
            <w:tcBorders>
              <w:top w:val="nil"/>
              <w:left w:val="nil"/>
              <w:bottom w:val="single" w:sz="4" w:space="0" w:color="auto"/>
              <w:right w:val="single" w:sz="4" w:space="0" w:color="auto"/>
            </w:tcBorders>
            <w:shd w:val="clear" w:color="99CC00" w:fill="auto"/>
            <w:vAlign w:val="center"/>
            <w:hideMark/>
          </w:tcPr>
          <w:p w:rsidR="00264BEE"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hipotecarios para vivienda a empleados, distintos de aquellos que hayan sido reestructurados, cuya calificación de acuerdo con las normas de la SFC sea diferente de "C", "D" y "E", netos de provisión.</w:t>
            </w:r>
          </w:p>
        </w:tc>
      </w:tr>
      <w:tr w:rsidR="00264BEE" w:rsidRPr="00700E68" w:rsidTr="00A21FC8">
        <w:trPr>
          <w:trHeight w:val="450"/>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167</w:t>
            </w:r>
          </w:p>
        </w:tc>
        <w:tc>
          <w:tcPr>
            <w:tcW w:w="7478" w:type="dxa"/>
            <w:tcBorders>
              <w:top w:val="nil"/>
              <w:left w:val="nil"/>
              <w:bottom w:val="single" w:sz="4" w:space="0" w:color="auto"/>
              <w:right w:val="single" w:sz="4" w:space="0" w:color="auto"/>
            </w:tcBorders>
            <w:shd w:val="clear" w:color="99CC00" w:fill="auto"/>
            <w:vAlign w:val="center"/>
            <w:hideMark/>
          </w:tcPr>
          <w:p w:rsidR="00264BEE"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hipotecarios para vivienda a empleados, que hayan sido reestructurados, cuya calificación de acuerdo con las normas de la SFC mejore a "A" o "B", netos de provisión.</w:t>
            </w:r>
          </w:p>
        </w:tc>
      </w:tr>
      <w:tr w:rsidR="00264BEE" w:rsidRPr="00700E68" w:rsidTr="00A21FC8">
        <w:trPr>
          <w:trHeight w:val="67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185</w:t>
            </w:r>
          </w:p>
        </w:tc>
        <w:tc>
          <w:tcPr>
            <w:tcW w:w="7478" w:type="dxa"/>
            <w:tcBorders>
              <w:top w:val="nil"/>
              <w:left w:val="nil"/>
              <w:bottom w:val="single" w:sz="4" w:space="0" w:color="auto"/>
              <w:right w:val="single" w:sz="4" w:space="0" w:color="auto"/>
            </w:tcBorders>
            <w:shd w:val="clear" w:color="99CC00" w:fill="auto"/>
            <w:vAlign w:val="center"/>
            <w:hideMark/>
          </w:tcPr>
          <w:p w:rsidR="00264BEE" w:rsidRPr="00700E68" w:rsidRDefault="0034087E"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Derechos fiduciarios constituidos en desarrollo de procesos de titularización de activos de alta seguridad y baja liquidez que clasifiquen en la categoría III de acuerdo con lo establecido en el Capítulo 3 del Título 1 del Libro 1 de la Parte 2 del Decreto 2555 de 2010.</w:t>
            </w:r>
          </w:p>
        </w:tc>
      </w:tr>
      <w:tr w:rsidR="00264BEE" w:rsidRPr="00700E68" w:rsidTr="00A21FC8">
        <w:trPr>
          <w:trHeight w:val="450"/>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356</w:t>
            </w:r>
          </w:p>
        </w:tc>
        <w:tc>
          <w:tcPr>
            <w:tcW w:w="7478" w:type="dxa"/>
            <w:tcBorders>
              <w:top w:val="nil"/>
              <w:left w:val="nil"/>
              <w:bottom w:val="single" w:sz="4" w:space="0" w:color="auto"/>
              <w:right w:val="single" w:sz="4" w:space="0" w:color="auto"/>
            </w:tcBorders>
            <w:shd w:val="clear" w:color="99CC00" w:fill="auto"/>
            <w:vAlign w:val="center"/>
            <w:hideMark/>
          </w:tcPr>
          <w:p w:rsidR="00264BEE"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Bienes entregados en leasing financiero inmobiliario para vivienda y leasing habitacional, contabilizados en el grupo 14, netos de provisiones y amortización.</w:t>
            </w:r>
          </w:p>
        </w:tc>
      </w:tr>
      <w:tr w:rsidR="00264BEE" w:rsidRPr="00700E68" w:rsidTr="00A21FC8">
        <w:trPr>
          <w:trHeight w:val="450"/>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502</w:t>
            </w:r>
          </w:p>
        </w:tc>
        <w:tc>
          <w:tcPr>
            <w:tcW w:w="7478" w:type="dxa"/>
            <w:tcBorders>
              <w:top w:val="nil"/>
              <w:left w:val="nil"/>
              <w:bottom w:val="single" w:sz="4" w:space="0" w:color="auto"/>
              <w:right w:val="single" w:sz="4" w:space="0" w:color="auto"/>
            </w:tcBorders>
            <w:shd w:val="clear" w:color="99CC00" w:fill="auto"/>
            <w:vAlign w:val="center"/>
            <w:hideMark/>
          </w:tcPr>
          <w:p w:rsidR="00264BEE"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efectuadas en títulos  derivados de procesos de titularización con calificación de largo plazo, efectuada por agencia calificadora autorizada  por la SFC sea igual a: A+, A y A-.</w:t>
            </w:r>
          </w:p>
        </w:tc>
      </w:tr>
      <w:tr w:rsidR="00264BEE" w:rsidRPr="00700E68" w:rsidTr="00A21FC8">
        <w:trPr>
          <w:trHeight w:val="450"/>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512</w:t>
            </w:r>
          </w:p>
        </w:tc>
        <w:tc>
          <w:tcPr>
            <w:tcW w:w="7478" w:type="dxa"/>
            <w:tcBorders>
              <w:top w:val="nil"/>
              <w:left w:val="nil"/>
              <w:bottom w:val="single" w:sz="4" w:space="0" w:color="auto"/>
              <w:right w:val="single" w:sz="4" w:space="0" w:color="auto"/>
            </w:tcBorders>
            <w:shd w:val="clear" w:color="99CC00" w:fill="auto"/>
            <w:vAlign w:val="center"/>
            <w:hideMark/>
          </w:tcPr>
          <w:p w:rsidR="00264BEE"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efectuadas en títulos  derivados de procesos de titularización con calificación de corto plazo, efectuada por agencia calificadora autorizada  por la SFC sea igual a: 2+, 2, y 2-.</w:t>
            </w:r>
          </w:p>
        </w:tc>
      </w:tr>
      <w:tr w:rsidR="00264BEE" w:rsidRPr="00700E68" w:rsidTr="00A21FC8">
        <w:trPr>
          <w:trHeight w:val="67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517</w:t>
            </w:r>
          </w:p>
        </w:tc>
        <w:tc>
          <w:tcPr>
            <w:tcW w:w="7478" w:type="dxa"/>
            <w:tcBorders>
              <w:top w:val="nil"/>
              <w:left w:val="nil"/>
              <w:bottom w:val="single" w:sz="4" w:space="0" w:color="auto"/>
              <w:right w:val="single" w:sz="4" w:space="0" w:color="auto"/>
            </w:tcBorders>
            <w:shd w:val="clear" w:color="99CC00" w:fill="auto"/>
            <w:vAlign w:val="center"/>
            <w:hideMark/>
          </w:tcPr>
          <w:p w:rsidR="00264BEE"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procedentes de procesos de titularización que sean mantenidos de manera incondicional por el originador, correspondientes a categoría III que ponderan al 50%, de acuerdo con lo señalado en el Capítulo 3 del Título 1 del Libro 1 de la Parte 2 del Decreto 2555 de 2010.</w:t>
            </w:r>
          </w:p>
        </w:tc>
      </w:tr>
    </w:tbl>
    <w:p w:rsidR="008222BC" w:rsidRPr="00700E68" w:rsidRDefault="008222BC" w:rsidP="00FD52A1">
      <w:pPr>
        <w:jc w:val="both"/>
        <w:rPr>
          <w:rFonts w:ascii="Arial" w:hAnsi="Arial" w:cs="Arial"/>
          <w:sz w:val="18"/>
          <w:szCs w:val="18"/>
          <w:lang w:val="es-CO"/>
        </w:rPr>
      </w:pPr>
    </w:p>
    <w:p w:rsidR="008222BC" w:rsidRPr="00700E68" w:rsidRDefault="0047780A" w:rsidP="009E3550">
      <w:pPr>
        <w:pStyle w:val="Prrafodelista"/>
        <w:numPr>
          <w:ilvl w:val="2"/>
          <w:numId w:val="21"/>
        </w:numPr>
        <w:ind w:left="851" w:hanging="851"/>
        <w:jc w:val="both"/>
        <w:rPr>
          <w:rFonts w:ascii="Arial" w:hAnsi="Arial" w:cs="Arial"/>
          <w:b/>
          <w:sz w:val="18"/>
          <w:szCs w:val="18"/>
        </w:rPr>
      </w:pPr>
      <w:r w:rsidRPr="00700E68">
        <w:rPr>
          <w:rFonts w:ascii="Arial" w:hAnsi="Arial" w:cs="Arial"/>
          <w:b/>
          <w:sz w:val="18"/>
          <w:szCs w:val="18"/>
        </w:rPr>
        <w:t>Activos que pondera</w:t>
      </w:r>
      <w:r w:rsidR="008222BC" w:rsidRPr="00700E68">
        <w:rPr>
          <w:rFonts w:ascii="Arial" w:hAnsi="Arial" w:cs="Arial"/>
          <w:b/>
          <w:sz w:val="18"/>
          <w:szCs w:val="18"/>
        </w:rPr>
        <w:t>n por riesgo crediticio al setenta y cinco por ciento (75%):</w:t>
      </w:r>
    </w:p>
    <w:p w:rsidR="0035567A" w:rsidRPr="00700E68" w:rsidRDefault="0035567A" w:rsidP="00FD52A1">
      <w:pPr>
        <w:jc w:val="both"/>
        <w:rPr>
          <w:rFonts w:ascii="Arial" w:hAnsi="Arial" w:cs="Arial"/>
          <w:sz w:val="18"/>
          <w:szCs w:val="18"/>
        </w:rPr>
      </w:pPr>
    </w:p>
    <w:tbl>
      <w:tblPr>
        <w:tblW w:w="9360" w:type="dxa"/>
        <w:tblInd w:w="65" w:type="dxa"/>
        <w:tblCellMar>
          <w:left w:w="70" w:type="dxa"/>
          <w:right w:w="70" w:type="dxa"/>
        </w:tblCellMar>
        <w:tblLook w:val="04A0" w:firstRow="1" w:lastRow="0" w:firstColumn="1" w:lastColumn="0" w:noHBand="0" w:noVBand="1"/>
      </w:tblPr>
      <w:tblGrid>
        <w:gridCol w:w="821"/>
        <w:gridCol w:w="1061"/>
        <w:gridCol w:w="7478"/>
      </w:tblGrid>
      <w:tr w:rsidR="00264BEE" w:rsidRPr="00700E68" w:rsidTr="00A751EF">
        <w:trPr>
          <w:trHeight w:val="313"/>
          <w:tblHeader/>
        </w:trPr>
        <w:tc>
          <w:tcPr>
            <w:tcW w:w="760"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264BEE" w:rsidRPr="00700E68" w:rsidRDefault="00264BEE"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Reporte</w:t>
            </w:r>
          </w:p>
        </w:tc>
        <w:tc>
          <w:tcPr>
            <w:tcW w:w="958" w:type="dxa"/>
            <w:tcBorders>
              <w:top w:val="single" w:sz="4" w:space="0" w:color="auto"/>
              <w:left w:val="nil"/>
              <w:bottom w:val="single" w:sz="4" w:space="0" w:color="auto"/>
              <w:right w:val="single" w:sz="4" w:space="0" w:color="auto"/>
            </w:tcBorders>
            <w:shd w:val="clear" w:color="000000" w:fill="D9D9D9"/>
            <w:vAlign w:val="center"/>
            <w:hideMark/>
          </w:tcPr>
          <w:p w:rsidR="00264BEE" w:rsidRPr="00700E68" w:rsidRDefault="00264BEE" w:rsidP="00FD52A1">
            <w:pPr>
              <w:jc w:val="center"/>
              <w:rPr>
                <w:rFonts w:ascii="Arial" w:hAnsi="Arial" w:cs="Arial"/>
                <w:b/>
                <w:bCs/>
                <w:snapToGrid/>
                <w:color w:val="000000"/>
                <w:sz w:val="18"/>
                <w:szCs w:val="18"/>
                <w:lang w:val="es-CO" w:eastAsia="es-CO"/>
              </w:rPr>
            </w:pPr>
            <w:r w:rsidRPr="00700E68">
              <w:rPr>
                <w:rFonts w:ascii="Arial" w:hAnsi="Arial" w:cs="Arial"/>
                <w:b/>
                <w:bCs/>
                <w:snapToGrid/>
                <w:color w:val="000000"/>
                <w:sz w:val="18"/>
                <w:szCs w:val="18"/>
                <w:lang w:val="es-CO" w:eastAsia="es-CO"/>
              </w:rPr>
              <w:t>Cuenta/</w:t>
            </w:r>
            <w:r w:rsidRPr="00700E68">
              <w:rPr>
                <w:rFonts w:ascii="Arial" w:hAnsi="Arial" w:cs="Arial"/>
                <w:b/>
                <w:bCs/>
                <w:snapToGrid/>
                <w:color w:val="000000"/>
                <w:sz w:val="18"/>
                <w:szCs w:val="18"/>
                <w:lang w:val="es-CO" w:eastAsia="es-CO"/>
              </w:rPr>
              <w:br/>
              <w:t>Subcuenta</w:t>
            </w:r>
          </w:p>
        </w:tc>
        <w:tc>
          <w:tcPr>
            <w:tcW w:w="7642" w:type="dxa"/>
            <w:tcBorders>
              <w:top w:val="single" w:sz="4" w:space="0" w:color="auto"/>
              <w:left w:val="nil"/>
              <w:bottom w:val="single" w:sz="4" w:space="0" w:color="auto"/>
              <w:right w:val="single" w:sz="4" w:space="0" w:color="auto"/>
            </w:tcBorders>
            <w:shd w:val="clear" w:color="99CC00" w:fill="D9D9D9"/>
            <w:vAlign w:val="center"/>
            <w:hideMark/>
          </w:tcPr>
          <w:p w:rsidR="00264BEE" w:rsidRPr="00700E68" w:rsidRDefault="00264BEE"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Denominación</w:t>
            </w:r>
          </w:p>
        </w:tc>
      </w:tr>
      <w:tr w:rsidR="00264BEE" w:rsidRPr="00700E68" w:rsidTr="00264BEE">
        <w:trPr>
          <w:trHeight w:val="45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58"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113</w:t>
            </w:r>
          </w:p>
        </w:tc>
        <w:tc>
          <w:tcPr>
            <w:tcW w:w="7642" w:type="dxa"/>
            <w:tcBorders>
              <w:top w:val="nil"/>
              <w:left w:val="nil"/>
              <w:bottom w:val="single" w:sz="4" w:space="0" w:color="auto"/>
              <w:right w:val="single" w:sz="4" w:space="0" w:color="auto"/>
            </w:tcBorders>
            <w:shd w:val="clear" w:color="99CC00" w:fill="auto"/>
            <w:vAlign w:val="center"/>
            <w:hideMark/>
          </w:tcPr>
          <w:p w:rsidR="00264BEE" w:rsidRPr="00700E68" w:rsidRDefault="0042684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para vivienda con garantía hipotecaria, distintos de aquellos que hayan sido reestructurados, cuya calificación de acuerdo con las normas de la SFC sea "C".</w:t>
            </w:r>
          </w:p>
        </w:tc>
      </w:tr>
      <w:tr w:rsidR="00264BEE" w:rsidRPr="00700E68" w:rsidTr="00264BEE">
        <w:trPr>
          <w:trHeight w:val="45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FD60E6" w:rsidRPr="00700E68" w:rsidRDefault="00FD60E6" w:rsidP="00FD52A1">
            <w:pPr>
              <w:jc w:val="center"/>
              <w:rPr>
                <w:rFonts w:ascii="Arial" w:hAnsi="Arial" w:cs="Arial"/>
                <w:snapToGrid/>
                <w:sz w:val="18"/>
                <w:szCs w:val="18"/>
                <w:lang w:val="es-CO" w:eastAsia="es-CO"/>
              </w:rPr>
            </w:pPr>
          </w:p>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58"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118</w:t>
            </w:r>
          </w:p>
        </w:tc>
        <w:tc>
          <w:tcPr>
            <w:tcW w:w="7642" w:type="dxa"/>
            <w:tcBorders>
              <w:top w:val="nil"/>
              <w:left w:val="nil"/>
              <w:bottom w:val="single" w:sz="4" w:space="0" w:color="auto"/>
              <w:right w:val="single" w:sz="4" w:space="0" w:color="auto"/>
            </w:tcBorders>
            <w:shd w:val="clear" w:color="99CC00" w:fill="auto"/>
            <w:vAlign w:val="center"/>
            <w:hideMark/>
          </w:tcPr>
          <w:p w:rsidR="00264BEE"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para vivienda con garantía hipotecaria, distintos de aquellos que hayan sido reestructurados, cuya calificación de acuerdo con las normas de la SFC sea "C".</w:t>
            </w:r>
          </w:p>
        </w:tc>
      </w:tr>
      <w:tr w:rsidR="00264BEE" w:rsidRPr="00700E68" w:rsidTr="00264BEE">
        <w:trPr>
          <w:trHeight w:val="67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58"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168</w:t>
            </w:r>
          </w:p>
        </w:tc>
        <w:tc>
          <w:tcPr>
            <w:tcW w:w="7642" w:type="dxa"/>
            <w:tcBorders>
              <w:top w:val="nil"/>
              <w:left w:val="nil"/>
              <w:bottom w:val="single" w:sz="4" w:space="0" w:color="auto"/>
              <w:right w:val="single" w:sz="4" w:space="0" w:color="auto"/>
            </w:tcBorders>
            <w:shd w:val="clear" w:color="99CC00" w:fill="auto"/>
            <w:vAlign w:val="center"/>
            <w:hideMark/>
          </w:tcPr>
          <w:p w:rsidR="00264BEE"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hipotecarios para vivienda a empleados, distintos de aquellos que hayan sido  reestructurados, cuya calificación de acuerdo con las normas de la SFC sea "C", netos de provisión.</w:t>
            </w:r>
          </w:p>
        </w:tc>
      </w:tr>
      <w:tr w:rsidR="00264BEE" w:rsidRPr="00700E68" w:rsidTr="00264BEE">
        <w:trPr>
          <w:trHeight w:val="67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58"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518</w:t>
            </w:r>
          </w:p>
        </w:tc>
        <w:tc>
          <w:tcPr>
            <w:tcW w:w="7642" w:type="dxa"/>
            <w:tcBorders>
              <w:top w:val="nil"/>
              <w:left w:val="nil"/>
              <w:bottom w:val="single" w:sz="4" w:space="0" w:color="auto"/>
              <w:right w:val="single" w:sz="4" w:space="0" w:color="auto"/>
            </w:tcBorders>
            <w:shd w:val="clear" w:color="99CC00" w:fill="auto"/>
            <w:vAlign w:val="center"/>
            <w:hideMark/>
          </w:tcPr>
          <w:p w:rsidR="00264BEE"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procedentes de procesos de titularización que sean mantenidos de manera incondicional  por el originador, correspondientes a categoría III que ponderan al 75%, de acuerdo con lo señalado en el Capítulo 3 del Título 1 del Libro 1 de la Parte 2 del Decreto 2555 de 2010.</w:t>
            </w:r>
          </w:p>
        </w:tc>
      </w:tr>
    </w:tbl>
    <w:p w:rsidR="00573194" w:rsidRPr="00700E68" w:rsidRDefault="00573194" w:rsidP="00FD52A1">
      <w:pPr>
        <w:jc w:val="both"/>
        <w:rPr>
          <w:rFonts w:ascii="Arial" w:hAnsi="Arial" w:cs="Arial"/>
          <w:sz w:val="18"/>
          <w:szCs w:val="18"/>
          <w:lang w:val="es-CO"/>
        </w:rPr>
      </w:pPr>
    </w:p>
    <w:p w:rsidR="008222BC" w:rsidRPr="00700E68" w:rsidRDefault="0047780A" w:rsidP="009E3550">
      <w:pPr>
        <w:pStyle w:val="Prrafodelista"/>
        <w:numPr>
          <w:ilvl w:val="2"/>
          <w:numId w:val="21"/>
        </w:numPr>
        <w:ind w:left="851" w:hanging="851"/>
        <w:jc w:val="both"/>
        <w:rPr>
          <w:rFonts w:ascii="Arial" w:hAnsi="Arial" w:cs="Arial"/>
          <w:b/>
          <w:sz w:val="18"/>
          <w:szCs w:val="18"/>
        </w:rPr>
      </w:pPr>
      <w:r w:rsidRPr="00700E68">
        <w:rPr>
          <w:rFonts w:ascii="Arial" w:hAnsi="Arial" w:cs="Arial"/>
          <w:b/>
          <w:sz w:val="18"/>
          <w:szCs w:val="18"/>
        </w:rPr>
        <w:t>Activos que pondera</w:t>
      </w:r>
      <w:r w:rsidR="008222BC" w:rsidRPr="00700E68">
        <w:rPr>
          <w:rFonts w:ascii="Arial" w:hAnsi="Arial" w:cs="Arial"/>
          <w:b/>
          <w:sz w:val="18"/>
          <w:szCs w:val="18"/>
        </w:rPr>
        <w:t>n al ochenta por ciento (80%):</w:t>
      </w:r>
    </w:p>
    <w:p w:rsidR="00264BEE" w:rsidRPr="00700E68" w:rsidRDefault="00264BEE" w:rsidP="00FD52A1">
      <w:pPr>
        <w:jc w:val="both"/>
        <w:rPr>
          <w:rFonts w:ascii="Arial" w:hAnsi="Arial" w:cs="Arial"/>
          <w:sz w:val="18"/>
          <w:szCs w:val="18"/>
        </w:rPr>
      </w:pPr>
    </w:p>
    <w:tbl>
      <w:tblPr>
        <w:tblW w:w="9360" w:type="dxa"/>
        <w:tblInd w:w="65" w:type="dxa"/>
        <w:tblCellMar>
          <w:left w:w="70" w:type="dxa"/>
          <w:right w:w="70" w:type="dxa"/>
        </w:tblCellMar>
        <w:tblLook w:val="04A0" w:firstRow="1" w:lastRow="0" w:firstColumn="1" w:lastColumn="0" w:noHBand="0" w:noVBand="1"/>
      </w:tblPr>
      <w:tblGrid>
        <w:gridCol w:w="821"/>
        <w:gridCol w:w="1061"/>
        <w:gridCol w:w="7478"/>
      </w:tblGrid>
      <w:tr w:rsidR="00264BEE" w:rsidRPr="00700E68" w:rsidTr="0089552B">
        <w:trPr>
          <w:trHeight w:val="262"/>
          <w:tblHeader/>
        </w:trPr>
        <w:tc>
          <w:tcPr>
            <w:tcW w:w="760"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264BEE" w:rsidRPr="00700E68" w:rsidRDefault="00264BEE"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Reporte</w:t>
            </w:r>
          </w:p>
        </w:tc>
        <w:tc>
          <w:tcPr>
            <w:tcW w:w="958" w:type="dxa"/>
            <w:tcBorders>
              <w:top w:val="single" w:sz="4" w:space="0" w:color="auto"/>
              <w:left w:val="nil"/>
              <w:bottom w:val="single" w:sz="4" w:space="0" w:color="auto"/>
              <w:right w:val="single" w:sz="4" w:space="0" w:color="auto"/>
            </w:tcBorders>
            <w:shd w:val="clear" w:color="000000" w:fill="D9D9D9"/>
            <w:vAlign w:val="center"/>
            <w:hideMark/>
          </w:tcPr>
          <w:p w:rsidR="00264BEE" w:rsidRPr="00700E68" w:rsidRDefault="00264BEE" w:rsidP="00FD52A1">
            <w:pPr>
              <w:jc w:val="center"/>
              <w:rPr>
                <w:rFonts w:ascii="Arial" w:hAnsi="Arial" w:cs="Arial"/>
                <w:b/>
                <w:bCs/>
                <w:snapToGrid/>
                <w:color w:val="000000"/>
                <w:sz w:val="18"/>
                <w:szCs w:val="18"/>
                <w:lang w:val="es-CO" w:eastAsia="es-CO"/>
              </w:rPr>
            </w:pPr>
            <w:r w:rsidRPr="00700E68">
              <w:rPr>
                <w:rFonts w:ascii="Arial" w:hAnsi="Arial" w:cs="Arial"/>
                <w:b/>
                <w:bCs/>
                <w:snapToGrid/>
                <w:color w:val="000000"/>
                <w:sz w:val="18"/>
                <w:szCs w:val="18"/>
                <w:lang w:val="es-CO" w:eastAsia="es-CO"/>
              </w:rPr>
              <w:t>Cuenta/</w:t>
            </w:r>
            <w:r w:rsidRPr="00700E68">
              <w:rPr>
                <w:rFonts w:ascii="Arial" w:hAnsi="Arial" w:cs="Arial"/>
                <w:b/>
                <w:bCs/>
                <w:snapToGrid/>
                <w:color w:val="000000"/>
                <w:sz w:val="18"/>
                <w:szCs w:val="18"/>
                <w:lang w:val="es-CO" w:eastAsia="es-CO"/>
              </w:rPr>
              <w:br/>
              <w:t>Subcuenta</w:t>
            </w:r>
          </w:p>
        </w:tc>
        <w:tc>
          <w:tcPr>
            <w:tcW w:w="7642" w:type="dxa"/>
            <w:tcBorders>
              <w:top w:val="single" w:sz="4" w:space="0" w:color="auto"/>
              <w:left w:val="nil"/>
              <w:bottom w:val="single" w:sz="4" w:space="0" w:color="auto"/>
              <w:right w:val="single" w:sz="4" w:space="0" w:color="auto"/>
            </w:tcBorders>
            <w:shd w:val="clear" w:color="99CC00" w:fill="D9D9D9"/>
            <w:vAlign w:val="center"/>
            <w:hideMark/>
          </w:tcPr>
          <w:p w:rsidR="00264BEE" w:rsidRPr="00700E68" w:rsidRDefault="00264BEE"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Denominación</w:t>
            </w:r>
          </w:p>
        </w:tc>
      </w:tr>
      <w:tr w:rsidR="00264BEE" w:rsidRPr="00700E68" w:rsidTr="00264BEE">
        <w:trPr>
          <w:trHeight w:val="309"/>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58"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190</w:t>
            </w:r>
          </w:p>
        </w:tc>
        <w:tc>
          <w:tcPr>
            <w:tcW w:w="7642" w:type="dxa"/>
            <w:tcBorders>
              <w:top w:val="nil"/>
              <w:left w:val="nil"/>
              <w:bottom w:val="single" w:sz="4" w:space="0" w:color="auto"/>
              <w:right w:val="single" w:sz="4" w:space="0" w:color="auto"/>
            </w:tcBorders>
            <w:shd w:val="clear" w:color="99CC00" w:fill="auto"/>
            <w:vAlign w:val="center"/>
            <w:hideMark/>
          </w:tcPr>
          <w:p w:rsidR="00264BEE"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Derechos fiduciarios constituidos en desarrollo de procesos de titularización de bienes entregados en leasing que clasifiquen en la  categoría IV de acuerdo con lo establecido en el Capítulo 3 del Título 1 del Libro 1 de la Parte 2 del Decreto 2555 de 2010.</w:t>
            </w:r>
          </w:p>
        </w:tc>
      </w:tr>
      <w:tr w:rsidR="00264BEE" w:rsidRPr="00700E68" w:rsidTr="00264BEE">
        <w:trPr>
          <w:trHeight w:val="192"/>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58"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361</w:t>
            </w:r>
          </w:p>
        </w:tc>
        <w:tc>
          <w:tcPr>
            <w:tcW w:w="7642" w:type="dxa"/>
            <w:tcBorders>
              <w:top w:val="nil"/>
              <w:left w:val="nil"/>
              <w:bottom w:val="single" w:sz="4" w:space="0" w:color="auto"/>
              <w:right w:val="single" w:sz="4" w:space="0" w:color="auto"/>
            </w:tcBorders>
            <w:shd w:val="clear" w:color="99CC00" w:fill="auto"/>
            <w:vAlign w:val="center"/>
            <w:hideMark/>
          </w:tcPr>
          <w:p w:rsidR="00264BEE" w:rsidRPr="00700E68" w:rsidRDefault="00776D27" w:rsidP="00776D27">
            <w:pPr>
              <w:jc w:val="both"/>
              <w:rPr>
                <w:rFonts w:ascii="Arial" w:hAnsi="Arial" w:cs="Arial"/>
                <w:snapToGrid/>
                <w:sz w:val="18"/>
                <w:szCs w:val="18"/>
                <w:lang w:val="es-CO" w:eastAsia="es-CO"/>
              </w:rPr>
            </w:pPr>
            <w:r w:rsidRPr="00700E68">
              <w:rPr>
                <w:rFonts w:ascii="Arial" w:hAnsi="Arial" w:cs="Arial"/>
                <w:snapToGrid/>
                <w:sz w:val="18"/>
                <w:szCs w:val="18"/>
                <w:lang w:val="es-CO" w:eastAsia="es-CO"/>
              </w:rPr>
              <w:t>Bienes entregados en leasing financiero diferentes a leasing inmobiliario para vivienda y leasing habitacional contabilizados en el grupo 14, netos de provisiones y amortización.</w:t>
            </w:r>
            <w:r w:rsidR="00264BEE" w:rsidRPr="00700E68">
              <w:rPr>
                <w:rFonts w:ascii="Arial" w:hAnsi="Arial" w:cs="Arial"/>
                <w:snapToGrid/>
                <w:sz w:val="18"/>
                <w:szCs w:val="18"/>
                <w:lang w:val="es-CO" w:eastAsia="es-CO"/>
              </w:rPr>
              <w:t xml:space="preserve"> </w:t>
            </w:r>
          </w:p>
        </w:tc>
      </w:tr>
      <w:tr w:rsidR="00264BEE" w:rsidRPr="00700E68" w:rsidTr="0089552B">
        <w:trPr>
          <w:trHeight w:val="152"/>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58" w:type="dxa"/>
            <w:tcBorders>
              <w:top w:val="nil"/>
              <w:left w:val="nil"/>
              <w:bottom w:val="single" w:sz="4" w:space="0" w:color="auto"/>
              <w:right w:val="single" w:sz="4" w:space="0" w:color="auto"/>
            </w:tcBorders>
            <w:shd w:val="clear" w:color="99CC00" w:fill="auto"/>
            <w:noWrap/>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455</w:t>
            </w:r>
          </w:p>
        </w:tc>
        <w:tc>
          <w:tcPr>
            <w:tcW w:w="7642" w:type="dxa"/>
            <w:tcBorders>
              <w:top w:val="nil"/>
              <w:left w:val="nil"/>
              <w:bottom w:val="single" w:sz="4" w:space="0" w:color="auto"/>
              <w:right w:val="single" w:sz="4" w:space="0" w:color="auto"/>
            </w:tcBorders>
            <w:shd w:val="clear" w:color="99CC00" w:fill="auto"/>
            <w:vAlign w:val="center"/>
            <w:hideMark/>
          </w:tcPr>
          <w:p w:rsidR="00264BEE"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Derechos fiduciarios que posean los establecimientos de crédito sobre patrimonios autónomos cuya finalidad principal sea su enajenación y cuyo activo subyacente sean los bienes inmuebles que originalmente fueron recibidos en dación de pago o adjudicados en remates judiciales, siempre y cuando sean constituidos en sociedades fiduciarias no filiales del establecimiento de crédito y cuente con autorización previa de la SFC (literal f) del artículo 2.1.1.3.4 del Decreto 2555 de 2010).</w:t>
            </w:r>
          </w:p>
        </w:tc>
      </w:tr>
    </w:tbl>
    <w:p w:rsidR="00264BEE" w:rsidRPr="00700E68" w:rsidRDefault="00264BEE" w:rsidP="00FD52A1">
      <w:pPr>
        <w:jc w:val="both"/>
        <w:rPr>
          <w:rFonts w:ascii="Arial" w:hAnsi="Arial" w:cs="Arial"/>
          <w:sz w:val="18"/>
          <w:szCs w:val="18"/>
          <w:lang w:val="es-CO"/>
        </w:rPr>
      </w:pPr>
    </w:p>
    <w:p w:rsidR="008222BC" w:rsidRPr="00700E68" w:rsidRDefault="00B90CFC" w:rsidP="009E3550">
      <w:pPr>
        <w:pStyle w:val="Prrafodelista"/>
        <w:numPr>
          <w:ilvl w:val="2"/>
          <w:numId w:val="21"/>
        </w:numPr>
        <w:ind w:left="851" w:hanging="851"/>
        <w:jc w:val="both"/>
        <w:rPr>
          <w:rFonts w:ascii="Arial" w:hAnsi="Arial" w:cs="Arial"/>
          <w:b/>
          <w:sz w:val="18"/>
          <w:szCs w:val="18"/>
        </w:rPr>
      </w:pPr>
      <w:r w:rsidRPr="00700E68">
        <w:rPr>
          <w:rFonts w:ascii="Arial" w:hAnsi="Arial" w:cs="Arial"/>
          <w:b/>
          <w:sz w:val="18"/>
          <w:szCs w:val="18"/>
        </w:rPr>
        <w:t>Activos que pondera</w:t>
      </w:r>
      <w:r w:rsidR="008222BC" w:rsidRPr="00700E68">
        <w:rPr>
          <w:rFonts w:ascii="Arial" w:hAnsi="Arial" w:cs="Arial"/>
          <w:b/>
          <w:sz w:val="18"/>
          <w:szCs w:val="18"/>
        </w:rPr>
        <w:t>n por riesgo crediticio al noventa por ciento (90%):</w:t>
      </w:r>
    </w:p>
    <w:p w:rsidR="00264BEE" w:rsidRPr="00700E68" w:rsidRDefault="00264BEE" w:rsidP="00FD52A1">
      <w:pPr>
        <w:jc w:val="both"/>
        <w:rPr>
          <w:rFonts w:ascii="Arial" w:hAnsi="Arial" w:cs="Arial"/>
          <w:sz w:val="18"/>
          <w:szCs w:val="18"/>
        </w:rPr>
      </w:pPr>
    </w:p>
    <w:tbl>
      <w:tblPr>
        <w:tblW w:w="9360" w:type="dxa"/>
        <w:tblInd w:w="65" w:type="dxa"/>
        <w:tblCellMar>
          <w:left w:w="70" w:type="dxa"/>
          <w:right w:w="70" w:type="dxa"/>
        </w:tblCellMar>
        <w:tblLook w:val="04A0" w:firstRow="1" w:lastRow="0" w:firstColumn="1" w:lastColumn="0" w:noHBand="0" w:noVBand="1"/>
      </w:tblPr>
      <w:tblGrid>
        <w:gridCol w:w="821"/>
        <w:gridCol w:w="1061"/>
        <w:gridCol w:w="7478"/>
      </w:tblGrid>
      <w:tr w:rsidR="00264BEE" w:rsidRPr="00700E68" w:rsidTr="00966D0C">
        <w:trPr>
          <w:trHeight w:val="359"/>
          <w:tblHeader/>
        </w:trPr>
        <w:tc>
          <w:tcPr>
            <w:tcW w:w="760"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264BEE" w:rsidRPr="00700E68" w:rsidRDefault="00264BEE"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Reporte</w:t>
            </w:r>
          </w:p>
        </w:tc>
        <w:tc>
          <w:tcPr>
            <w:tcW w:w="958" w:type="dxa"/>
            <w:tcBorders>
              <w:top w:val="single" w:sz="4" w:space="0" w:color="auto"/>
              <w:left w:val="nil"/>
              <w:bottom w:val="single" w:sz="4" w:space="0" w:color="auto"/>
              <w:right w:val="single" w:sz="4" w:space="0" w:color="auto"/>
            </w:tcBorders>
            <w:shd w:val="clear" w:color="000000" w:fill="D9D9D9"/>
            <w:vAlign w:val="center"/>
            <w:hideMark/>
          </w:tcPr>
          <w:p w:rsidR="00264BEE" w:rsidRPr="00700E68" w:rsidRDefault="00264BEE" w:rsidP="00FD52A1">
            <w:pPr>
              <w:jc w:val="center"/>
              <w:rPr>
                <w:rFonts w:ascii="Arial" w:hAnsi="Arial" w:cs="Arial"/>
                <w:b/>
                <w:bCs/>
                <w:snapToGrid/>
                <w:color w:val="000000"/>
                <w:sz w:val="18"/>
                <w:szCs w:val="18"/>
                <w:lang w:val="es-CO" w:eastAsia="es-CO"/>
              </w:rPr>
            </w:pPr>
            <w:r w:rsidRPr="00700E68">
              <w:rPr>
                <w:rFonts w:ascii="Arial" w:hAnsi="Arial" w:cs="Arial"/>
                <w:b/>
                <w:bCs/>
                <w:snapToGrid/>
                <w:color w:val="000000"/>
                <w:sz w:val="18"/>
                <w:szCs w:val="18"/>
                <w:lang w:val="es-CO" w:eastAsia="es-CO"/>
              </w:rPr>
              <w:t>Cuenta/</w:t>
            </w:r>
            <w:r w:rsidRPr="00700E68">
              <w:rPr>
                <w:rFonts w:ascii="Arial" w:hAnsi="Arial" w:cs="Arial"/>
                <w:b/>
                <w:bCs/>
                <w:snapToGrid/>
                <w:color w:val="000000"/>
                <w:sz w:val="18"/>
                <w:szCs w:val="18"/>
                <w:lang w:val="es-CO" w:eastAsia="es-CO"/>
              </w:rPr>
              <w:br/>
              <w:t>Subcuenta</w:t>
            </w:r>
          </w:p>
        </w:tc>
        <w:tc>
          <w:tcPr>
            <w:tcW w:w="7642" w:type="dxa"/>
            <w:tcBorders>
              <w:top w:val="single" w:sz="4" w:space="0" w:color="auto"/>
              <w:left w:val="nil"/>
              <w:bottom w:val="single" w:sz="4" w:space="0" w:color="auto"/>
              <w:right w:val="single" w:sz="4" w:space="0" w:color="auto"/>
            </w:tcBorders>
            <w:shd w:val="clear" w:color="99CC00" w:fill="D9D9D9"/>
            <w:vAlign w:val="center"/>
            <w:hideMark/>
          </w:tcPr>
          <w:p w:rsidR="00264BEE" w:rsidRPr="00700E68" w:rsidRDefault="00264BEE"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Denominación</w:t>
            </w:r>
          </w:p>
        </w:tc>
      </w:tr>
      <w:tr w:rsidR="00264BEE" w:rsidRPr="00700E68" w:rsidTr="00A21FC8">
        <w:trPr>
          <w:trHeight w:val="127"/>
        </w:trPr>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58" w:type="dxa"/>
            <w:tcBorders>
              <w:top w:val="single" w:sz="4" w:space="0" w:color="auto"/>
              <w:left w:val="nil"/>
              <w:bottom w:val="single" w:sz="4" w:space="0" w:color="auto"/>
              <w:right w:val="single" w:sz="4" w:space="0" w:color="auto"/>
            </w:tcBorders>
            <w:shd w:val="clear" w:color="auto" w:fill="FFFFFF" w:themeFill="background1"/>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480</w:t>
            </w:r>
          </w:p>
        </w:tc>
        <w:tc>
          <w:tcPr>
            <w:tcW w:w="7642" w:type="dxa"/>
            <w:tcBorders>
              <w:top w:val="single" w:sz="4" w:space="0" w:color="auto"/>
              <w:left w:val="nil"/>
              <w:bottom w:val="single" w:sz="4" w:space="0" w:color="auto"/>
              <w:right w:val="single" w:sz="4" w:space="0" w:color="auto"/>
            </w:tcBorders>
            <w:shd w:val="clear" w:color="auto" w:fill="FFFFFF" w:themeFill="background1"/>
            <w:vAlign w:val="center"/>
            <w:hideMark/>
          </w:tcPr>
          <w:p w:rsidR="00264BEE"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Créditos de corto plazo otorgados a entidades territoriales cuya calificación de riesgo efectuada por las sociedades calificadoras autorizadas por la SFC sea "uno (1)", de acuerdo con lo establecido en el Capítulo 3 del Título 1 del Libro 1 de la Parte 2 del Decreto </w:t>
            </w:r>
            <w:r w:rsidR="00532447" w:rsidRPr="00700E68">
              <w:rPr>
                <w:rFonts w:ascii="Arial" w:hAnsi="Arial" w:cs="Arial"/>
                <w:noProof/>
                <w:snapToGrid/>
                <w:sz w:val="18"/>
                <w:szCs w:val="18"/>
                <w:lang w:val="es-CO" w:eastAsia="es-CO"/>
              </w:rPr>
              <w:lastRenderedPageBreak/>
              <mc:AlternateContent>
                <mc:Choice Requires="wps">
                  <w:drawing>
                    <wp:anchor distT="0" distB="0" distL="114300" distR="114300" simplePos="0" relativeHeight="251672576" behindDoc="0" locked="0" layoutInCell="1" allowOverlap="1" wp14:anchorId="71F0E6BF" wp14:editId="41D113D0">
                      <wp:simplePos x="0" y="0"/>
                      <wp:positionH relativeFrom="column">
                        <wp:posOffset>-1315085</wp:posOffset>
                      </wp:positionH>
                      <wp:positionV relativeFrom="paragraph">
                        <wp:posOffset>-266700</wp:posOffset>
                      </wp:positionV>
                      <wp:extent cx="0" cy="9704705"/>
                      <wp:effectExtent l="0" t="0" r="19050" b="1079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0470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03.55pt;margin-top:-21pt;width:0;height:76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" strokecolor="black [3213]"/>
                  </w:pict>
                </mc:Fallback>
              </mc:AlternateContent>
            </w:r>
            <w:r w:rsidRPr="00700E68">
              <w:rPr>
                <w:rFonts w:ascii="Arial" w:hAnsi="Arial" w:cs="Arial"/>
                <w:snapToGrid/>
                <w:sz w:val="18"/>
                <w:szCs w:val="18"/>
                <w:lang w:val="es-CO" w:eastAsia="es-CO"/>
              </w:rPr>
              <w:t>2555 de 2010, netos de provisión.</w:t>
            </w:r>
          </w:p>
        </w:tc>
      </w:tr>
      <w:tr w:rsidR="00264BEE" w:rsidRPr="00700E68" w:rsidTr="00B90CFC">
        <w:trPr>
          <w:trHeight w:val="274"/>
        </w:trPr>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lastRenderedPageBreak/>
              <w:t>F.110</w:t>
            </w:r>
          </w:p>
        </w:tc>
        <w:tc>
          <w:tcPr>
            <w:tcW w:w="958" w:type="dxa"/>
            <w:tcBorders>
              <w:top w:val="single" w:sz="4" w:space="0" w:color="auto"/>
              <w:left w:val="nil"/>
              <w:bottom w:val="single" w:sz="4" w:space="0" w:color="auto"/>
              <w:right w:val="single" w:sz="4" w:space="0" w:color="auto"/>
            </w:tcBorders>
            <w:shd w:val="clear" w:color="auto" w:fill="FFFFFF" w:themeFill="background1"/>
            <w:vAlign w:val="center"/>
            <w:hideMark/>
          </w:tcPr>
          <w:p w:rsidR="00264BEE" w:rsidRPr="00700E68" w:rsidRDefault="00264BEE"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530</w:t>
            </w:r>
          </w:p>
        </w:tc>
        <w:tc>
          <w:tcPr>
            <w:tcW w:w="7642" w:type="dxa"/>
            <w:tcBorders>
              <w:top w:val="single" w:sz="4" w:space="0" w:color="auto"/>
              <w:left w:val="nil"/>
              <w:bottom w:val="single" w:sz="4" w:space="0" w:color="auto"/>
              <w:right w:val="single" w:sz="4" w:space="0" w:color="auto"/>
            </w:tcBorders>
            <w:shd w:val="clear" w:color="auto" w:fill="FFFFFF" w:themeFill="background1"/>
            <w:vAlign w:val="center"/>
            <w:hideMark/>
          </w:tcPr>
          <w:p w:rsidR="00264BEE"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de largo plazo otorgados a entidades territoriales cuya calificación de riesgo efectuada por las sociedades calificadoras autorizadas por la SFC sea "AAA", de acuerdo con lo establecido en el Capítulo 3 del Título 1 del Libro 1 de la Parte 2 del Decreto 2555 de 2010, netos de provisión.</w:t>
            </w:r>
          </w:p>
        </w:tc>
      </w:tr>
    </w:tbl>
    <w:p w:rsidR="00264BEE" w:rsidRPr="00700E68" w:rsidRDefault="00264BEE" w:rsidP="00FD52A1">
      <w:pPr>
        <w:jc w:val="both"/>
        <w:rPr>
          <w:rFonts w:ascii="Arial" w:hAnsi="Arial" w:cs="Arial"/>
          <w:b/>
          <w:sz w:val="18"/>
          <w:szCs w:val="18"/>
          <w:lang w:val="es-CO"/>
        </w:rPr>
      </w:pPr>
    </w:p>
    <w:p w:rsidR="008222BC" w:rsidRPr="00700E68" w:rsidRDefault="0047780A" w:rsidP="009E3550">
      <w:pPr>
        <w:pStyle w:val="Prrafodelista"/>
        <w:numPr>
          <w:ilvl w:val="2"/>
          <w:numId w:val="21"/>
        </w:numPr>
        <w:ind w:left="851" w:hanging="851"/>
        <w:jc w:val="both"/>
        <w:rPr>
          <w:rFonts w:ascii="Arial" w:hAnsi="Arial" w:cs="Arial"/>
          <w:b/>
          <w:sz w:val="18"/>
          <w:szCs w:val="18"/>
        </w:rPr>
      </w:pPr>
      <w:r w:rsidRPr="00700E68">
        <w:rPr>
          <w:rFonts w:ascii="Arial" w:hAnsi="Arial" w:cs="Arial"/>
          <w:b/>
          <w:sz w:val="18"/>
          <w:szCs w:val="18"/>
        </w:rPr>
        <w:t>Activos que pondera</w:t>
      </w:r>
      <w:r w:rsidR="008222BC" w:rsidRPr="00700E68">
        <w:rPr>
          <w:rFonts w:ascii="Arial" w:hAnsi="Arial" w:cs="Arial"/>
          <w:b/>
          <w:sz w:val="18"/>
          <w:szCs w:val="18"/>
        </w:rPr>
        <w:t>n por riesgo crediticio al noventa y cinco por ciento (95%):</w:t>
      </w:r>
    </w:p>
    <w:p w:rsidR="00816B76" w:rsidRPr="00700E68" w:rsidRDefault="00816B76" w:rsidP="00FD52A1">
      <w:pPr>
        <w:jc w:val="both"/>
        <w:rPr>
          <w:rFonts w:ascii="Arial" w:hAnsi="Arial" w:cs="Arial"/>
          <w:sz w:val="18"/>
          <w:szCs w:val="18"/>
        </w:rPr>
      </w:pPr>
    </w:p>
    <w:tbl>
      <w:tblPr>
        <w:tblW w:w="9360" w:type="dxa"/>
        <w:tblInd w:w="65" w:type="dxa"/>
        <w:tblCellMar>
          <w:left w:w="70" w:type="dxa"/>
          <w:right w:w="70" w:type="dxa"/>
        </w:tblCellMar>
        <w:tblLook w:val="04A0" w:firstRow="1" w:lastRow="0" w:firstColumn="1" w:lastColumn="0" w:noHBand="0" w:noVBand="1"/>
      </w:tblPr>
      <w:tblGrid>
        <w:gridCol w:w="821"/>
        <w:gridCol w:w="1061"/>
        <w:gridCol w:w="7478"/>
      </w:tblGrid>
      <w:tr w:rsidR="00816B76" w:rsidRPr="00700E68" w:rsidTr="00816B76">
        <w:trPr>
          <w:trHeight w:val="344"/>
        </w:trPr>
        <w:tc>
          <w:tcPr>
            <w:tcW w:w="760"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816B76" w:rsidRPr="00700E68" w:rsidRDefault="00816B76"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Reporte</w:t>
            </w:r>
          </w:p>
        </w:tc>
        <w:tc>
          <w:tcPr>
            <w:tcW w:w="880" w:type="dxa"/>
            <w:tcBorders>
              <w:top w:val="single" w:sz="4" w:space="0" w:color="auto"/>
              <w:left w:val="nil"/>
              <w:bottom w:val="single" w:sz="4" w:space="0" w:color="auto"/>
              <w:right w:val="single" w:sz="4" w:space="0" w:color="auto"/>
            </w:tcBorders>
            <w:shd w:val="clear" w:color="000000" w:fill="D9D9D9"/>
            <w:vAlign w:val="center"/>
            <w:hideMark/>
          </w:tcPr>
          <w:p w:rsidR="00816B76" w:rsidRPr="00700E68" w:rsidRDefault="00816B76" w:rsidP="00FD52A1">
            <w:pPr>
              <w:jc w:val="center"/>
              <w:rPr>
                <w:rFonts w:ascii="Arial" w:hAnsi="Arial" w:cs="Arial"/>
                <w:b/>
                <w:bCs/>
                <w:snapToGrid/>
                <w:color w:val="000000"/>
                <w:sz w:val="18"/>
                <w:szCs w:val="18"/>
                <w:lang w:val="es-CO" w:eastAsia="es-CO"/>
              </w:rPr>
            </w:pPr>
            <w:r w:rsidRPr="00700E68">
              <w:rPr>
                <w:rFonts w:ascii="Arial" w:hAnsi="Arial" w:cs="Arial"/>
                <w:b/>
                <w:bCs/>
                <w:snapToGrid/>
                <w:color w:val="000000"/>
                <w:sz w:val="18"/>
                <w:szCs w:val="18"/>
                <w:lang w:val="es-CO" w:eastAsia="es-CO"/>
              </w:rPr>
              <w:t>Cuenta/</w:t>
            </w:r>
            <w:r w:rsidRPr="00700E68">
              <w:rPr>
                <w:rFonts w:ascii="Arial" w:hAnsi="Arial" w:cs="Arial"/>
                <w:b/>
                <w:bCs/>
                <w:snapToGrid/>
                <w:color w:val="000000"/>
                <w:sz w:val="18"/>
                <w:szCs w:val="18"/>
                <w:lang w:val="es-CO" w:eastAsia="es-CO"/>
              </w:rPr>
              <w:br/>
              <w:t>Subcuenta</w:t>
            </w:r>
          </w:p>
        </w:tc>
        <w:tc>
          <w:tcPr>
            <w:tcW w:w="7720" w:type="dxa"/>
            <w:tcBorders>
              <w:top w:val="single" w:sz="4" w:space="0" w:color="auto"/>
              <w:left w:val="nil"/>
              <w:bottom w:val="single" w:sz="4" w:space="0" w:color="auto"/>
              <w:right w:val="single" w:sz="4" w:space="0" w:color="auto"/>
            </w:tcBorders>
            <w:shd w:val="clear" w:color="99CC00" w:fill="D9D9D9"/>
            <w:vAlign w:val="center"/>
            <w:hideMark/>
          </w:tcPr>
          <w:p w:rsidR="00816B76" w:rsidRPr="00700E68" w:rsidRDefault="00816B76"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Denominación</w:t>
            </w:r>
          </w:p>
        </w:tc>
      </w:tr>
      <w:tr w:rsidR="00816B76" w:rsidRPr="00700E68" w:rsidTr="00816B76">
        <w:trPr>
          <w:trHeight w:val="67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816B76" w:rsidRPr="00700E68" w:rsidRDefault="00816B7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816B76" w:rsidRPr="00700E68" w:rsidRDefault="00816B7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481</w:t>
            </w:r>
          </w:p>
        </w:tc>
        <w:tc>
          <w:tcPr>
            <w:tcW w:w="7720" w:type="dxa"/>
            <w:tcBorders>
              <w:top w:val="nil"/>
              <w:left w:val="nil"/>
              <w:bottom w:val="single" w:sz="4" w:space="0" w:color="auto"/>
              <w:right w:val="single" w:sz="4" w:space="0" w:color="auto"/>
            </w:tcBorders>
            <w:shd w:val="clear" w:color="99CC00" w:fill="auto"/>
            <w:vAlign w:val="center"/>
            <w:hideMark/>
          </w:tcPr>
          <w:p w:rsidR="00816B76"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de corto plazo otorgados a entidades territoriales cuya calificación de riesgo efectuada por las sociedades calificadoras autorizadas por la SFC sea "dos (2)", de acuerdo con lo establecido en el Capítulo 3 del Título 1 del Libro 1 de la Parte 2 del Decreto 2555 de 2010, netos de provisión.</w:t>
            </w:r>
          </w:p>
        </w:tc>
      </w:tr>
      <w:tr w:rsidR="00816B76" w:rsidRPr="00700E68" w:rsidTr="00816B76">
        <w:trPr>
          <w:trHeight w:val="67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816B76" w:rsidRPr="00700E68" w:rsidRDefault="00816B7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816B76" w:rsidRPr="00700E68" w:rsidRDefault="00816B7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535</w:t>
            </w:r>
          </w:p>
        </w:tc>
        <w:tc>
          <w:tcPr>
            <w:tcW w:w="7720" w:type="dxa"/>
            <w:tcBorders>
              <w:top w:val="nil"/>
              <w:left w:val="nil"/>
              <w:bottom w:val="single" w:sz="4" w:space="0" w:color="auto"/>
              <w:right w:val="single" w:sz="4" w:space="0" w:color="auto"/>
            </w:tcBorders>
            <w:shd w:val="clear" w:color="99CC00" w:fill="auto"/>
            <w:vAlign w:val="center"/>
            <w:hideMark/>
          </w:tcPr>
          <w:p w:rsidR="00816B76"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de largo plazo otorgados a entidades territoriales cuya calificación de riesgo efectuada por las sociedades calificadoras autorizadas por la SFC sea "AA", de acuerdo con lo establecido en el Capítulo 3 del Título 1 del Libro 1 de la Parte 2 del Decreto 2555 de 2010, netos de provisión.</w:t>
            </w:r>
          </w:p>
        </w:tc>
      </w:tr>
    </w:tbl>
    <w:p w:rsidR="00B90CFC" w:rsidRPr="00700E68" w:rsidRDefault="00B90CFC" w:rsidP="00FD52A1">
      <w:pPr>
        <w:jc w:val="both"/>
        <w:rPr>
          <w:rFonts w:ascii="Arial" w:hAnsi="Arial" w:cs="Arial"/>
          <w:sz w:val="18"/>
          <w:szCs w:val="18"/>
        </w:rPr>
      </w:pPr>
    </w:p>
    <w:p w:rsidR="008222BC" w:rsidRPr="00700E68" w:rsidRDefault="00E14D44" w:rsidP="009E3550">
      <w:pPr>
        <w:pStyle w:val="Prrafodelista"/>
        <w:numPr>
          <w:ilvl w:val="2"/>
          <w:numId w:val="21"/>
        </w:numPr>
        <w:ind w:left="851" w:hanging="851"/>
        <w:jc w:val="both"/>
        <w:rPr>
          <w:rFonts w:ascii="Arial" w:hAnsi="Arial" w:cs="Arial"/>
          <w:b/>
          <w:sz w:val="18"/>
          <w:szCs w:val="18"/>
        </w:rPr>
      </w:pPr>
      <w:r w:rsidRPr="00700E68">
        <w:rPr>
          <w:rFonts w:ascii="Arial" w:hAnsi="Arial" w:cs="Arial"/>
          <w:b/>
          <w:sz w:val="18"/>
          <w:szCs w:val="18"/>
        </w:rPr>
        <w:t>Activos que pondera</w:t>
      </w:r>
      <w:r w:rsidR="008222BC" w:rsidRPr="00700E68">
        <w:rPr>
          <w:rFonts w:ascii="Arial" w:hAnsi="Arial" w:cs="Arial"/>
          <w:b/>
          <w:sz w:val="18"/>
          <w:szCs w:val="18"/>
        </w:rPr>
        <w:t>n por riesgo crediticio al cien por ciento (100%):</w:t>
      </w:r>
    </w:p>
    <w:p w:rsidR="0031589D" w:rsidRPr="00700E68" w:rsidRDefault="0031589D" w:rsidP="00FD52A1">
      <w:pPr>
        <w:pStyle w:val="Prrafodelista"/>
        <w:ind w:left="851"/>
        <w:jc w:val="both"/>
        <w:rPr>
          <w:rFonts w:ascii="Arial" w:hAnsi="Arial" w:cs="Arial"/>
          <w:sz w:val="18"/>
          <w:szCs w:val="18"/>
        </w:rPr>
      </w:pPr>
    </w:p>
    <w:tbl>
      <w:tblPr>
        <w:tblW w:w="9360" w:type="dxa"/>
        <w:tblInd w:w="65" w:type="dxa"/>
        <w:tblLayout w:type="fixed"/>
        <w:tblCellMar>
          <w:left w:w="70" w:type="dxa"/>
          <w:right w:w="70" w:type="dxa"/>
        </w:tblCellMar>
        <w:tblLook w:val="04A0" w:firstRow="1" w:lastRow="0" w:firstColumn="1" w:lastColumn="0" w:noHBand="0" w:noVBand="1"/>
      </w:tblPr>
      <w:tblGrid>
        <w:gridCol w:w="856"/>
        <w:gridCol w:w="992"/>
        <w:gridCol w:w="7512"/>
      </w:tblGrid>
      <w:tr w:rsidR="00474096" w:rsidRPr="00700E68" w:rsidTr="00474096">
        <w:trPr>
          <w:trHeight w:val="192"/>
          <w:tblHeader/>
        </w:trPr>
        <w:tc>
          <w:tcPr>
            <w:tcW w:w="856" w:type="dxa"/>
            <w:tcBorders>
              <w:top w:val="single" w:sz="4" w:space="0" w:color="auto"/>
              <w:left w:val="single" w:sz="4" w:space="0" w:color="auto"/>
              <w:bottom w:val="single" w:sz="4" w:space="0" w:color="auto"/>
              <w:right w:val="single" w:sz="4" w:space="0" w:color="auto"/>
            </w:tcBorders>
            <w:shd w:val="clear" w:color="99CC00" w:fill="D8D8D8"/>
            <w:vAlign w:val="center"/>
            <w:hideMark/>
          </w:tcPr>
          <w:p w:rsidR="00474096" w:rsidRPr="00700E68" w:rsidRDefault="00474096"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Reporte</w:t>
            </w:r>
          </w:p>
        </w:tc>
        <w:tc>
          <w:tcPr>
            <w:tcW w:w="992" w:type="dxa"/>
            <w:tcBorders>
              <w:top w:val="single" w:sz="4" w:space="0" w:color="auto"/>
              <w:left w:val="nil"/>
              <w:bottom w:val="single" w:sz="4" w:space="0" w:color="auto"/>
              <w:right w:val="single" w:sz="4" w:space="0" w:color="auto"/>
            </w:tcBorders>
            <w:shd w:val="clear" w:color="000000" w:fill="D8D8D8"/>
            <w:vAlign w:val="center"/>
            <w:hideMark/>
          </w:tcPr>
          <w:p w:rsidR="00474096" w:rsidRPr="00700E68" w:rsidRDefault="00474096" w:rsidP="00FD52A1">
            <w:pPr>
              <w:ind w:left="-70" w:firstLine="70"/>
              <w:jc w:val="center"/>
              <w:rPr>
                <w:rFonts w:ascii="Arial" w:hAnsi="Arial" w:cs="Arial"/>
                <w:b/>
                <w:bCs/>
                <w:snapToGrid/>
                <w:color w:val="000000"/>
                <w:sz w:val="18"/>
                <w:szCs w:val="18"/>
                <w:lang w:val="es-CO" w:eastAsia="es-CO"/>
              </w:rPr>
            </w:pPr>
            <w:r w:rsidRPr="00700E68">
              <w:rPr>
                <w:rFonts w:ascii="Arial" w:hAnsi="Arial" w:cs="Arial"/>
                <w:b/>
                <w:bCs/>
                <w:snapToGrid/>
                <w:color w:val="000000"/>
                <w:sz w:val="18"/>
                <w:szCs w:val="18"/>
                <w:lang w:val="es-CO" w:eastAsia="es-CO"/>
              </w:rPr>
              <w:t>Cuenta/</w:t>
            </w:r>
            <w:r w:rsidRPr="00700E68">
              <w:rPr>
                <w:rFonts w:ascii="Arial" w:hAnsi="Arial" w:cs="Arial"/>
                <w:b/>
                <w:bCs/>
                <w:snapToGrid/>
                <w:color w:val="000000"/>
                <w:sz w:val="18"/>
                <w:szCs w:val="18"/>
                <w:lang w:val="es-CO" w:eastAsia="es-CO"/>
              </w:rPr>
              <w:br/>
              <w:t>Subcuenta</w:t>
            </w:r>
          </w:p>
        </w:tc>
        <w:tc>
          <w:tcPr>
            <w:tcW w:w="7512" w:type="dxa"/>
            <w:tcBorders>
              <w:top w:val="single" w:sz="4" w:space="0" w:color="auto"/>
              <w:left w:val="nil"/>
              <w:bottom w:val="single" w:sz="4" w:space="0" w:color="auto"/>
              <w:right w:val="single" w:sz="4" w:space="0" w:color="auto"/>
            </w:tcBorders>
            <w:shd w:val="clear" w:color="99CC00" w:fill="D8D8D8"/>
            <w:vAlign w:val="center"/>
            <w:hideMark/>
          </w:tcPr>
          <w:p w:rsidR="00474096" w:rsidRPr="00700E68" w:rsidRDefault="00474096"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Denominación</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113000</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Remesas en tránsito</w:t>
            </w:r>
          </w:p>
        </w:tc>
      </w:tr>
      <w:tr w:rsidR="00474096"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130414</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entidades no vigiladas por la Superintendencia Bancaria (incluidos los bonos obligatoria u opcionalmente convertibles en acciones)</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130417</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avalados, garantizados o aceptados por bancos del exterior</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130442</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residentes en el exterior</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ind w:left="-70"/>
              <w:jc w:val="center"/>
              <w:rPr>
                <w:rFonts w:ascii="Arial" w:hAnsi="Arial" w:cs="Arial"/>
                <w:snapToGrid/>
                <w:sz w:val="18"/>
                <w:szCs w:val="18"/>
                <w:lang w:val="es-CO" w:eastAsia="es-CO"/>
              </w:rPr>
            </w:pPr>
            <w:r w:rsidRPr="00700E68">
              <w:rPr>
                <w:rFonts w:ascii="Arial" w:hAnsi="Arial" w:cs="Arial"/>
                <w:snapToGrid/>
                <w:sz w:val="18"/>
                <w:szCs w:val="18"/>
                <w:lang w:val="es-CO" w:eastAsia="es-CO"/>
              </w:rPr>
              <w:t>+  130495</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Otros títulos</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130600</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negociables en títulos participativos</w:t>
            </w:r>
          </w:p>
        </w:tc>
      </w:tr>
      <w:tr w:rsidR="00474096"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130814</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entidades no vigiladas por la Superintendencia Bancaria (incluidos los bonos obligatoria u opcionalmente convertibles en acciones)</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130817</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avalados, garantizados o aceptados por bancos del exterior</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130842</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residentes en el exterior</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130895</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Otros títulos</w:t>
            </w:r>
          </w:p>
        </w:tc>
      </w:tr>
      <w:tr w:rsidR="00474096"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131314</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entidades no vigiladas por la Superintendencia Bancaria (incluidos los bonos obligatoria u opcionalmente convertibles en acciones)</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131317</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avalados, garantizados o aceptados por bancos del exterior</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131342</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residentes en el exterior</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131395</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Otros títulos</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131600</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disponibles para la venta en títulos participativos</w:t>
            </w:r>
          </w:p>
        </w:tc>
      </w:tr>
      <w:tr w:rsidR="00252E53" w:rsidRPr="00700E68" w:rsidTr="000D06D7">
        <w:trPr>
          <w:trHeight w:val="21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252E53" w:rsidRPr="00700E68" w:rsidRDefault="00252E53"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252E53" w:rsidRPr="00700E68" w:rsidRDefault="00252E53"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133114</w:t>
            </w:r>
          </w:p>
        </w:tc>
        <w:tc>
          <w:tcPr>
            <w:tcW w:w="7512" w:type="dxa"/>
            <w:tcBorders>
              <w:top w:val="nil"/>
              <w:left w:val="nil"/>
              <w:bottom w:val="single" w:sz="4" w:space="0" w:color="auto"/>
              <w:right w:val="single" w:sz="4" w:space="0" w:color="auto"/>
            </w:tcBorders>
            <w:shd w:val="clear" w:color="99CC00" w:fill="auto"/>
            <w:vAlign w:val="center"/>
            <w:hideMark/>
          </w:tcPr>
          <w:p w:rsidR="00252E53" w:rsidRPr="00700E68" w:rsidRDefault="00252E5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entidades no vigiladas por la Superintendencia Bancaria (incluidos los bonos obligatoria u opcionalmente convertibles en acciones)</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133117</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avalados, garantizados o aceptados por bancos del exterior</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133142</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residentes en el exterior</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133195</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Otros títulos</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133200</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Derechos de transferencia de inversiones negociables en títulos o valores participativos</w:t>
            </w:r>
          </w:p>
        </w:tc>
      </w:tr>
      <w:tr w:rsidR="00474096" w:rsidRPr="00700E68" w:rsidTr="00474096">
        <w:trPr>
          <w:trHeight w:val="21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133314</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entidades no vigiladas por la Superintendencia Bancaria (incluidos los bonos obligatoria u opcionalmente convertibles en acciones)</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133317</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avalados, garantizados o aceptados por bancos del exterior</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133342</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residentes en el exterior</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133395</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Otros títulos</w:t>
            </w:r>
          </w:p>
        </w:tc>
      </w:tr>
      <w:tr w:rsidR="00474096" w:rsidRPr="00700E68" w:rsidTr="00474096">
        <w:trPr>
          <w:trHeight w:val="161"/>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133514</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entidades no vigiladas por la Superintendencia Bancaria (incluidos los bonos obligatoria u opcionalmente convertibles en acciones)</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133517</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avalados, garantizados o aceptados por bancos del exterior</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133542</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residentes en el exterior</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133595</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Otros títulos</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133600</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Derechos de transferencia de inversiones disponibles para la venta en títulos o valores participativos</w:t>
            </w:r>
          </w:p>
        </w:tc>
      </w:tr>
      <w:tr w:rsidR="00474096" w:rsidRPr="00700E68" w:rsidTr="00474096">
        <w:trPr>
          <w:trHeight w:val="18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134014</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entidades no vigiladas por la Superintendencia Bancaria (incluidos los bonos obligatoria u opcionalmente convertibles en acciones)</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134017</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avalados, garantizados o aceptados por bancos del exterior</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134042</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Títulos emitidos por residentes en el exterior</w:t>
            </w:r>
          </w:p>
        </w:tc>
      </w:tr>
      <w:tr w:rsidR="00474096"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134095</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Otros títulos</w:t>
            </w:r>
          </w:p>
        </w:tc>
      </w:tr>
      <w:tr w:rsidR="00474096" w:rsidRPr="00700E68" w:rsidTr="00474096">
        <w:trPr>
          <w:trHeight w:val="153"/>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134200</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negociables entregadas en garantía en operaciones con instrumentos financieros derivados, productos estructurados y otros, en títulos o valores participativos</w:t>
            </w:r>
          </w:p>
        </w:tc>
      </w:tr>
      <w:tr w:rsidR="00474096" w:rsidRPr="00700E68" w:rsidTr="00474096">
        <w:trPr>
          <w:trHeight w:val="188"/>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474096" w:rsidRPr="00700E68" w:rsidRDefault="00474096"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134414</w:t>
            </w:r>
          </w:p>
        </w:tc>
        <w:tc>
          <w:tcPr>
            <w:tcW w:w="7512" w:type="dxa"/>
            <w:tcBorders>
              <w:top w:val="nil"/>
              <w:left w:val="nil"/>
              <w:bottom w:val="single" w:sz="4" w:space="0" w:color="auto"/>
              <w:right w:val="single" w:sz="4" w:space="0" w:color="auto"/>
            </w:tcBorders>
            <w:shd w:val="clear" w:color="99CC00" w:fill="auto"/>
            <w:vAlign w:val="center"/>
            <w:hideMark/>
          </w:tcPr>
          <w:p w:rsidR="00474096" w:rsidRPr="00700E68" w:rsidRDefault="00474096" w:rsidP="009A6158">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emitidos por entidades no vigiladas por la Superintendencia Bancaria (incluidos los </w:t>
            </w:r>
          </w:p>
        </w:tc>
      </w:tr>
    </w:tbl>
    <w:p w:rsidR="009A6158" w:rsidRDefault="009A6158">
      <w:pPr>
        <w:sectPr w:rsidR="009A6158" w:rsidSect="000D4234">
          <w:headerReference w:type="default" r:id="rId28"/>
          <w:footerReference w:type="default" r:id="rId29"/>
          <w:pgSz w:w="12240" w:h="18720" w:code="14"/>
          <w:pgMar w:top="1148" w:right="1134" w:bottom="1701" w:left="1701" w:header="567" w:footer="567" w:gutter="0"/>
          <w:paperSrc w:first="15"/>
          <w:pgNumType w:start="68"/>
          <w:cols w:space="720"/>
          <w:noEndnote/>
          <w:docGrid w:linePitch="272"/>
        </w:sectPr>
      </w:pPr>
    </w:p>
    <w:tbl>
      <w:tblPr>
        <w:tblW w:w="93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6"/>
        <w:gridCol w:w="992"/>
        <w:gridCol w:w="7512"/>
      </w:tblGrid>
      <w:tr w:rsidR="009A6158" w:rsidRPr="007D7653" w:rsidTr="00CD6F78">
        <w:trPr>
          <w:trHeight w:val="225"/>
        </w:trPr>
        <w:tc>
          <w:tcPr>
            <w:tcW w:w="856" w:type="dxa"/>
            <w:shd w:val="clear" w:color="auto" w:fill="D9D9D9" w:themeFill="background1" w:themeFillShade="D9"/>
            <w:noWrap/>
            <w:vAlign w:val="center"/>
            <w:hideMark/>
          </w:tcPr>
          <w:p w:rsidR="009A6158" w:rsidRPr="007D7653" w:rsidRDefault="009A6158" w:rsidP="00CD6F78">
            <w:pPr>
              <w:jc w:val="center"/>
              <w:rPr>
                <w:rFonts w:ascii="Arial" w:hAnsi="Arial" w:cs="Arial"/>
                <w:b/>
                <w:bCs/>
                <w:snapToGrid/>
                <w:sz w:val="18"/>
                <w:szCs w:val="18"/>
                <w:lang w:val="es-CO" w:eastAsia="es-CO"/>
              </w:rPr>
            </w:pPr>
            <w:r w:rsidRPr="007D7653">
              <w:rPr>
                <w:rFonts w:ascii="Arial" w:hAnsi="Arial" w:cs="Arial"/>
                <w:b/>
                <w:bCs/>
                <w:snapToGrid/>
                <w:sz w:val="18"/>
                <w:szCs w:val="18"/>
                <w:lang w:val="es-CO" w:eastAsia="es-CO"/>
              </w:rPr>
              <w:lastRenderedPageBreak/>
              <w:t>Reporte</w:t>
            </w:r>
          </w:p>
        </w:tc>
        <w:tc>
          <w:tcPr>
            <w:tcW w:w="992" w:type="dxa"/>
            <w:shd w:val="clear" w:color="auto" w:fill="D9D9D9" w:themeFill="background1" w:themeFillShade="D9"/>
            <w:noWrap/>
            <w:vAlign w:val="center"/>
            <w:hideMark/>
          </w:tcPr>
          <w:p w:rsidR="009A6158" w:rsidRPr="007D7653" w:rsidRDefault="009A6158" w:rsidP="00CD6F78">
            <w:pPr>
              <w:ind w:left="-70" w:firstLine="70"/>
              <w:jc w:val="center"/>
              <w:rPr>
                <w:rFonts w:ascii="Arial" w:hAnsi="Arial" w:cs="Arial"/>
                <w:b/>
                <w:bCs/>
                <w:snapToGrid/>
                <w:color w:val="000000"/>
                <w:sz w:val="18"/>
                <w:szCs w:val="18"/>
                <w:lang w:val="es-CO" w:eastAsia="es-CO"/>
              </w:rPr>
            </w:pPr>
            <w:r w:rsidRPr="007D7653">
              <w:rPr>
                <w:rFonts w:ascii="Arial" w:hAnsi="Arial" w:cs="Arial"/>
                <w:b/>
                <w:bCs/>
                <w:snapToGrid/>
                <w:color w:val="000000"/>
                <w:sz w:val="18"/>
                <w:szCs w:val="18"/>
                <w:lang w:val="es-CO" w:eastAsia="es-CO"/>
              </w:rPr>
              <w:t>Cuenta/</w:t>
            </w:r>
            <w:r w:rsidRPr="007D7653">
              <w:rPr>
                <w:rFonts w:ascii="Arial" w:hAnsi="Arial" w:cs="Arial"/>
                <w:b/>
                <w:bCs/>
                <w:snapToGrid/>
                <w:color w:val="000000"/>
                <w:sz w:val="18"/>
                <w:szCs w:val="18"/>
                <w:lang w:val="es-CO" w:eastAsia="es-CO"/>
              </w:rPr>
              <w:br/>
              <w:t>Subcuenta</w:t>
            </w:r>
          </w:p>
        </w:tc>
        <w:tc>
          <w:tcPr>
            <w:tcW w:w="7512" w:type="dxa"/>
            <w:shd w:val="clear" w:color="auto" w:fill="D9D9D9" w:themeFill="background1" w:themeFillShade="D9"/>
            <w:vAlign w:val="center"/>
            <w:hideMark/>
          </w:tcPr>
          <w:p w:rsidR="009A6158" w:rsidRPr="007D7653" w:rsidRDefault="009A6158" w:rsidP="00CD6F78">
            <w:pPr>
              <w:jc w:val="center"/>
              <w:rPr>
                <w:rFonts w:ascii="Arial" w:hAnsi="Arial" w:cs="Arial"/>
                <w:b/>
                <w:bCs/>
                <w:snapToGrid/>
                <w:sz w:val="18"/>
                <w:szCs w:val="18"/>
                <w:lang w:val="es-CO" w:eastAsia="es-CO"/>
              </w:rPr>
            </w:pPr>
            <w:r w:rsidRPr="007D7653">
              <w:rPr>
                <w:rFonts w:ascii="Arial" w:hAnsi="Arial" w:cs="Arial"/>
                <w:b/>
                <w:bCs/>
                <w:snapToGrid/>
                <w:sz w:val="18"/>
                <w:szCs w:val="18"/>
                <w:lang w:val="es-CO" w:eastAsia="es-CO"/>
              </w:rPr>
              <w:t>Denominación</w:t>
            </w:r>
          </w:p>
        </w:tc>
      </w:tr>
      <w:tr w:rsidR="009A6158" w:rsidRPr="007D7653" w:rsidTr="00CD6F78">
        <w:trPr>
          <w:trHeight w:val="225"/>
        </w:trPr>
        <w:tc>
          <w:tcPr>
            <w:tcW w:w="856" w:type="dxa"/>
            <w:shd w:val="clear" w:color="99CC00" w:fill="auto"/>
            <w:noWrap/>
            <w:vAlign w:val="center"/>
          </w:tcPr>
          <w:p w:rsidR="009A6158" w:rsidRPr="007D7653" w:rsidRDefault="009A6158" w:rsidP="00CD6F78">
            <w:pPr>
              <w:jc w:val="center"/>
              <w:rPr>
                <w:rFonts w:ascii="Arial" w:hAnsi="Arial" w:cs="Arial"/>
                <w:snapToGrid/>
                <w:sz w:val="18"/>
                <w:szCs w:val="18"/>
                <w:lang w:val="es-CO" w:eastAsia="es-CO"/>
              </w:rPr>
            </w:pPr>
          </w:p>
        </w:tc>
        <w:tc>
          <w:tcPr>
            <w:tcW w:w="992" w:type="dxa"/>
            <w:shd w:val="clear" w:color="99CC00" w:fill="auto"/>
            <w:noWrap/>
            <w:vAlign w:val="center"/>
          </w:tcPr>
          <w:p w:rsidR="009A6158" w:rsidRPr="007D7653" w:rsidRDefault="009A6158" w:rsidP="00CD6F78">
            <w:pPr>
              <w:jc w:val="center"/>
              <w:rPr>
                <w:rFonts w:ascii="Arial" w:hAnsi="Arial" w:cs="Arial"/>
                <w:snapToGrid/>
                <w:sz w:val="18"/>
                <w:szCs w:val="18"/>
                <w:lang w:val="es-CO" w:eastAsia="es-CO"/>
              </w:rPr>
            </w:pPr>
          </w:p>
        </w:tc>
        <w:tc>
          <w:tcPr>
            <w:tcW w:w="7512" w:type="dxa"/>
            <w:shd w:val="clear" w:color="99CC00" w:fill="auto"/>
            <w:vAlign w:val="center"/>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bonos obligatoria u opcionalmente convertibles en acciones)</w:t>
            </w:r>
          </w:p>
        </w:tc>
      </w:tr>
      <w:tr w:rsidR="009A6158" w:rsidRPr="007D7653" w:rsidTr="00CD6F78">
        <w:trPr>
          <w:trHeight w:val="225"/>
        </w:trPr>
        <w:tc>
          <w:tcPr>
            <w:tcW w:w="856" w:type="dxa"/>
            <w:shd w:val="clear" w:color="99CC00" w:fill="auto"/>
            <w:noWrap/>
            <w:vAlign w:val="center"/>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134442</w:t>
            </w:r>
          </w:p>
        </w:tc>
        <w:tc>
          <w:tcPr>
            <w:tcW w:w="7512" w:type="dxa"/>
            <w:shd w:val="clear" w:color="99CC00" w:fill="auto"/>
            <w:vAlign w:val="center"/>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Títulos emitidos por residentes en el exterior</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134495</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Otros títulos</w:t>
            </w:r>
          </w:p>
        </w:tc>
      </w:tr>
      <w:tr w:rsidR="009A6158" w:rsidRPr="007D7653" w:rsidTr="00CD6F78">
        <w:trPr>
          <w:trHeight w:val="219"/>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134614</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Títulos emitidos por entidades no vigiladas por la Superintendencia Bancaria (incluidos los bonos obligatoria u opcionalmente convertibles en acciones)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134617</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Títulos emitidos, avalados, garantizados o aceptados por bancos del exterior</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134642</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Títulos emitidos por residentes en el exterior</w:t>
            </w:r>
          </w:p>
        </w:tc>
      </w:tr>
      <w:tr w:rsidR="009A6158" w:rsidRPr="007D7653" w:rsidTr="00CD6F78">
        <w:trPr>
          <w:trHeight w:val="60"/>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134695</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Otros títulos</w:t>
            </w:r>
          </w:p>
        </w:tc>
      </w:tr>
      <w:tr w:rsidR="009A6158" w:rsidRPr="007D7653" w:rsidTr="00CD6F78">
        <w:trPr>
          <w:trHeight w:val="94"/>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134800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Inversiones disponibles para la venta entregadas en garantía en operaciones con instrumentos financieros derivados, productos estructurados y otros, en títulos o valores participativos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140000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Cartera de créditos y operaciones de leasing financiero</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149800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Provisión general</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150400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Operaciones carrusel</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150500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Aceptaciones (bancarias) en plazo</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151000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Aceptaciones (bancarias) después del plazo</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160000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Cuentas por cobrar</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170000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Bienes realizables, recibidos en pago y bienes restituidos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180500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Terrenos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181000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Construcciones en curso</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181500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Edificios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182000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Equipo, muebles y enseres de oficina</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182500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Equipo de computación</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183000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Vehículos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183500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Equipo de movilización y maquinaria</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184000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Silos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184500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Bodegas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185000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Importaciones en curso</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185500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Semovientes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186100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Bienes dados en leasing operativo</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186500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Bienes rurales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190410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Traslado de cartera de créditos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190415</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Traslado de propiedades y equipo</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190420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Traslado de gastos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190495</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Otros traslados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191200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Aportes permanentes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191700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Activos intangibles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192000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Cargos diferidos</w:t>
            </w:r>
          </w:p>
        </w:tc>
      </w:tr>
      <w:tr w:rsidR="009A6158" w:rsidRPr="007D7653" w:rsidTr="00CD6F78">
        <w:trPr>
          <w:trHeight w:val="267"/>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192040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Impuesto de renta diferido "débito" por diferencias temporales</w:t>
            </w:r>
          </w:p>
        </w:tc>
      </w:tr>
      <w:tr w:rsidR="009A6158" w:rsidRPr="007D7653" w:rsidTr="00CD6F78">
        <w:trPr>
          <w:trHeight w:val="70"/>
        </w:trPr>
        <w:tc>
          <w:tcPr>
            <w:tcW w:w="856" w:type="dxa"/>
            <w:shd w:val="clear" w:color="99CC00" w:fill="auto"/>
            <w:noWrap/>
            <w:vAlign w:val="center"/>
          </w:tcPr>
          <w:p w:rsidR="009A6158" w:rsidRPr="007D7653" w:rsidRDefault="009A6158" w:rsidP="00CD6F78">
            <w:pPr>
              <w:jc w:val="center"/>
              <w:rPr>
                <w:rFonts w:ascii="Arial" w:hAnsi="Arial" w:cs="Arial"/>
                <w:snapToGrid/>
                <w:color w:val="000000"/>
                <w:sz w:val="12"/>
                <w:szCs w:val="18"/>
                <w:lang w:val="es-CO" w:eastAsia="es-CO"/>
              </w:rPr>
            </w:pPr>
            <w:r w:rsidRPr="007D7653">
              <w:rPr>
                <w:rFonts w:ascii="Arial" w:hAnsi="Arial" w:cs="Arial"/>
                <w:noProof/>
                <w:snapToGrid/>
                <w:color w:val="000000"/>
                <w:sz w:val="12"/>
                <w:szCs w:val="18"/>
                <w:lang w:val="es-CO" w:eastAsia="es-CO"/>
              </w:rPr>
              <mc:AlternateContent>
                <mc:Choice Requires="wps">
                  <w:drawing>
                    <wp:anchor distT="0" distB="0" distL="114300" distR="114300" simplePos="0" relativeHeight="251745280" behindDoc="0" locked="0" layoutInCell="1" allowOverlap="1" wp14:anchorId="746C648B" wp14:editId="7D5A1537">
                      <wp:simplePos x="0" y="0"/>
                      <wp:positionH relativeFrom="column">
                        <wp:posOffset>-111760</wp:posOffset>
                      </wp:positionH>
                      <wp:positionV relativeFrom="paragraph">
                        <wp:posOffset>-2540</wp:posOffset>
                      </wp:positionV>
                      <wp:extent cx="0" cy="171450"/>
                      <wp:effectExtent l="0" t="0" r="19050" b="19050"/>
                      <wp:wrapNone/>
                      <wp:docPr id="36" name="36 Conector recto"/>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6 Conector recto"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8.8pt,-.2pt" to="-8.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" strokecolor="black [3213]"/>
                  </w:pict>
                </mc:Fallback>
              </mc:AlternateContent>
            </w:r>
          </w:p>
        </w:tc>
        <w:tc>
          <w:tcPr>
            <w:tcW w:w="992" w:type="dxa"/>
            <w:shd w:val="clear" w:color="99CC00" w:fill="auto"/>
            <w:noWrap/>
            <w:vAlign w:val="center"/>
          </w:tcPr>
          <w:p w:rsidR="009A6158" w:rsidRPr="007D7653" w:rsidRDefault="009A6158" w:rsidP="00CD6F78">
            <w:pPr>
              <w:jc w:val="center"/>
              <w:rPr>
                <w:rFonts w:ascii="Arial" w:hAnsi="Arial" w:cs="Arial"/>
                <w:snapToGrid/>
                <w:sz w:val="18"/>
                <w:szCs w:val="18"/>
                <w:lang w:val="es-CO" w:eastAsia="es-CO"/>
              </w:rPr>
            </w:pPr>
          </w:p>
        </w:tc>
        <w:tc>
          <w:tcPr>
            <w:tcW w:w="7512" w:type="dxa"/>
            <w:shd w:val="clear" w:color="99CC00" w:fill="auto"/>
            <w:vAlign w:val="center"/>
          </w:tcPr>
          <w:p w:rsidR="009A6158" w:rsidRPr="007D7653" w:rsidRDefault="009A6158" w:rsidP="00CD6F78">
            <w:pPr>
              <w:jc w:val="both"/>
              <w:rPr>
                <w:rFonts w:ascii="Arial" w:hAnsi="Arial" w:cs="Arial"/>
                <w:snapToGrid/>
                <w:sz w:val="18"/>
                <w:szCs w:val="18"/>
                <w:lang w:val="es-CO" w:eastAsia="es-CO"/>
              </w:rPr>
            </w:pP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194500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Cartas de crédito de pago diferido</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194700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Cargo por corrección monetaria diferida</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195030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Categoría A riesgo normal, consumo</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195032</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Categoría B riesgo aceptable, consumo</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195034</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Categoría C riesgo apreciable, consumo</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195036</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Categoría D riesgo significativo, consumo</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195038</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 xml:space="preserve">Categoría E riesgo de incobrabilidad, consumo </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195095</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Otros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195500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Especies valoradas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196000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Depósitos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196300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 xml:space="preserve">Bienes por colocar en contratos leasing </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196500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Bienes de arte y cultura</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197500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Bienes entregados en comodato</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198000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Derechos en fideicomisos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199003</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Aportes en sucursales extranjeras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199015</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Muebles y enseres en almacén</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199020</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Remesas en tránsito no confirmadas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199045</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Consorcios o uniones temporales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199095</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Otros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199923</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Categoría A – crédito normal, vivienda, empleados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199924</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Categoría B - crédito aceptable, vivienda, empleados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199926</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 xml:space="preserve">Categoría C </w:t>
            </w:r>
            <w:r w:rsidRPr="007D7653">
              <w:rPr>
                <w:rFonts w:ascii="Arial" w:hAnsi="Arial" w:cs="Arial"/>
                <w:snapToGrid/>
                <w:sz w:val="18"/>
                <w:szCs w:val="18"/>
                <w:lang w:val="es-CO" w:eastAsia="es-CO"/>
              </w:rPr>
              <w:noBreakHyphen/>
              <w:t xml:space="preserve"> crédito apreciable, vivienda, empleados</w:t>
            </w:r>
          </w:p>
        </w:tc>
      </w:tr>
      <w:tr w:rsidR="009A6158" w:rsidRPr="007D7653" w:rsidTr="00CD6F78">
        <w:trPr>
          <w:trHeight w:val="225"/>
        </w:trPr>
        <w:tc>
          <w:tcPr>
            <w:tcW w:w="856"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PUC</w:t>
            </w:r>
          </w:p>
        </w:tc>
        <w:tc>
          <w:tcPr>
            <w:tcW w:w="992" w:type="dxa"/>
            <w:shd w:val="clear" w:color="99CC00" w:fill="auto"/>
            <w:noWrap/>
            <w:vAlign w:val="center"/>
            <w:hideMark/>
          </w:tcPr>
          <w:p w:rsidR="009A6158" w:rsidRPr="007D7653" w:rsidRDefault="009A6158" w:rsidP="00CD6F78">
            <w:pPr>
              <w:jc w:val="center"/>
              <w:rPr>
                <w:rFonts w:ascii="Arial" w:hAnsi="Arial" w:cs="Arial"/>
                <w:snapToGrid/>
                <w:sz w:val="18"/>
                <w:szCs w:val="18"/>
                <w:lang w:val="es-CO" w:eastAsia="es-CO"/>
              </w:rPr>
            </w:pPr>
            <w:r w:rsidRPr="007D7653">
              <w:rPr>
                <w:rFonts w:ascii="Arial" w:hAnsi="Arial" w:cs="Arial"/>
                <w:snapToGrid/>
                <w:sz w:val="18"/>
                <w:szCs w:val="18"/>
                <w:lang w:val="es-CO" w:eastAsia="es-CO"/>
              </w:rPr>
              <w:t>+  199928</w:t>
            </w:r>
          </w:p>
        </w:tc>
        <w:tc>
          <w:tcPr>
            <w:tcW w:w="7512" w:type="dxa"/>
            <w:shd w:val="clear" w:color="99CC00" w:fill="auto"/>
            <w:vAlign w:val="center"/>
            <w:hideMark/>
          </w:tcPr>
          <w:p w:rsidR="009A6158" w:rsidRPr="007D7653" w:rsidRDefault="009A6158" w:rsidP="00CD6F78">
            <w:pPr>
              <w:jc w:val="both"/>
              <w:rPr>
                <w:rFonts w:ascii="Arial" w:hAnsi="Arial" w:cs="Arial"/>
                <w:snapToGrid/>
                <w:sz w:val="18"/>
                <w:szCs w:val="18"/>
                <w:lang w:val="es-CO" w:eastAsia="es-CO"/>
              </w:rPr>
            </w:pPr>
            <w:r w:rsidRPr="007D7653">
              <w:rPr>
                <w:rFonts w:ascii="Arial" w:hAnsi="Arial" w:cs="Arial"/>
                <w:snapToGrid/>
                <w:sz w:val="18"/>
                <w:szCs w:val="18"/>
                <w:lang w:val="es-CO" w:eastAsia="es-CO"/>
              </w:rPr>
              <w:t xml:space="preserve">Categoría D </w:t>
            </w:r>
            <w:r w:rsidRPr="007D7653">
              <w:rPr>
                <w:rFonts w:ascii="Arial" w:hAnsi="Arial" w:cs="Arial"/>
                <w:snapToGrid/>
                <w:sz w:val="18"/>
                <w:szCs w:val="18"/>
                <w:lang w:val="es-CO" w:eastAsia="es-CO"/>
              </w:rPr>
              <w:noBreakHyphen/>
              <w:t xml:space="preserve"> crédito significativo, vivienda, empleados</w:t>
            </w:r>
          </w:p>
        </w:tc>
      </w:tr>
    </w:tbl>
    <w:p w:rsidR="009A6158" w:rsidRDefault="009A6158"/>
    <w:p w:rsidR="009A6158" w:rsidRDefault="009A6158">
      <w:pPr>
        <w:sectPr w:rsidR="009A6158" w:rsidSect="009A6158">
          <w:headerReference w:type="default" r:id="rId30"/>
          <w:footerReference w:type="default" r:id="rId31"/>
          <w:pgSz w:w="12240" w:h="18720" w:code="14"/>
          <w:pgMar w:top="1148" w:right="1134" w:bottom="1276" w:left="1701" w:header="567" w:footer="567" w:gutter="0"/>
          <w:paperSrc w:first="15"/>
          <w:pgNumType w:start="74"/>
          <w:cols w:space="720"/>
          <w:noEndnote/>
          <w:docGrid w:linePitch="272"/>
        </w:sectPr>
      </w:pPr>
    </w:p>
    <w:tbl>
      <w:tblPr>
        <w:tblW w:w="9360" w:type="dxa"/>
        <w:tblInd w:w="65" w:type="dxa"/>
        <w:tblLayout w:type="fixed"/>
        <w:tblCellMar>
          <w:left w:w="70" w:type="dxa"/>
          <w:right w:w="70" w:type="dxa"/>
        </w:tblCellMar>
        <w:tblLook w:val="04A0" w:firstRow="1" w:lastRow="0" w:firstColumn="1" w:lastColumn="0" w:noHBand="0" w:noVBand="1"/>
      </w:tblPr>
      <w:tblGrid>
        <w:gridCol w:w="856"/>
        <w:gridCol w:w="992"/>
        <w:gridCol w:w="7512"/>
      </w:tblGrid>
      <w:tr w:rsidR="009A6158" w:rsidRPr="00700E68" w:rsidTr="00CD6F78">
        <w:trPr>
          <w:trHeight w:val="192"/>
          <w:tblHeader/>
        </w:trPr>
        <w:tc>
          <w:tcPr>
            <w:tcW w:w="856" w:type="dxa"/>
            <w:tcBorders>
              <w:top w:val="single" w:sz="4" w:space="0" w:color="auto"/>
              <w:left w:val="single" w:sz="4" w:space="0" w:color="auto"/>
              <w:bottom w:val="single" w:sz="4" w:space="0" w:color="auto"/>
              <w:right w:val="single" w:sz="4" w:space="0" w:color="auto"/>
            </w:tcBorders>
            <w:shd w:val="clear" w:color="99CC00" w:fill="D8D8D8"/>
            <w:vAlign w:val="center"/>
            <w:hideMark/>
          </w:tcPr>
          <w:p w:rsidR="009A6158" w:rsidRPr="00700E68" w:rsidRDefault="009A6158" w:rsidP="00CD6F78">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lastRenderedPageBreak/>
              <w:t>Reporte</w:t>
            </w:r>
          </w:p>
        </w:tc>
        <w:tc>
          <w:tcPr>
            <w:tcW w:w="992" w:type="dxa"/>
            <w:tcBorders>
              <w:top w:val="single" w:sz="4" w:space="0" w:color="auto"/>
              <w:left w:val="nil"/>
              <w:bottom w:val="single" w:sz="4" w:space="0" w:color="auto"/>
              <w:right w:val="single" w:sz="4" w:space="0" w:color="auto"/>
            </w:tcBorders>
            <w:shd w:val="clear" w:color="000000" w:fill="D8D8D8"/>
            <w:vAlign w:val="center"/>
            <w:hideMark/>
          </w:tcPr>
          <w:p w:rsidR="009A6158" w:rsidRPr="00700E68" w:rsidRDefault="009A6158" w:rsidP="00CD6F78">
            <w:pPr>
              <w:ind w:left="-70" w:firstLine="70"/>
              <w:jc w:val="center"/>
              <w:rPr>
                <w:rFonts w:ascii="Arial" w:hAnsi="Arial" w:cs="Arial"/>
                <w:b/>
                <w:bCs/>
                <w:snapToGrid/>
                <w:color w:val="000000"/>
                <w:sz w:val="18"/>
                <w:szCs w:val="18"/>
                <w:lang w:val="es-CO" w:eastAsia="es-CO"/>
              </w:rPr>
            </w:pPr>
            <w:r w:rsidRPr="00700E68">
              <w:rPr>
                <w:rFonts w:ascii="Arial" w:hAnsi="Arial" w:cs="Arial"/>
                <w:b/>
                <w:bCs/>
                <w:snapToGrid/>
                <w:color w:val="000000"/>
                <w:sz w:val="18"/>
                <w:szCs w:val="18"/>
                <w:lang w:val="es-CO" w:eastAsia="es-CO"/>
              </w:rPr>
              <w:t>Cuenta/</w:t>
            </w:r>
            <w:r w:rsidRPr="00700E68">
              <w:rPr>
                <w:rFonts w:ascii="Arial" w:hAnsi="Arial" w:cs="Arial"/>
                <w:b/>
                <w:bCs/>
                <w:snapToGrid/>
                <w:color w:val="000000"/>
                <w:sz w:val="18"/>
                <w:szCs w:val="18"/>
                <w:lang w:val="es-CO" w:eastAsia="es-CO"/>
              </w:rPr>
              <w:br/>
              <w:t>Subcuenta</w:t>
            </w:r>
          </w:p>
        </w:tc>
        <w:tc>
          <w:tcPr>
            <w:tcW w:w="7512" w:type="dxa"/>
            <w:tcBorders>
              <w:top w:val="single" w:sz="4" w:space="0" w:color="auto"/>
              <w:left w:val="nil"/>
              <w:bottom w:val="single" w:sz="4" w:space="0" w:color="auto"/>
              <w:right w:val="single" w:sz="4" w:space="0" w:color="auto"/>
            </w:tcBorders>
            <w:shd w:val="clear" w:color="99CC00" w:fill="D8D8D8"/>
            <w:vAlign w:val="center"/>
            <w:hideMark/>
          </w:tcPr>
          <w:p w:rsidR="009A6158" w:rsidRPr="00700E68" w:rsidRDefault="009A6158" w:rsidP="00CD6F78">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Denominación</w:t>
            </w:r>
          </w:p>
        </w:tc>
      </w:tr>
      <w:tr w:rsidR="001643CB"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9E3550" w:rsidP="00FD52A1">
            <w:pPr>
              <w:jc w:val="center"/>
              <w:rPr>
                <w:rFonts w:ascii="Arial" w:hAnsi="Arial" w:cs="Arial"/>
                <w:snapToGrid/>
                <w:sz w:val="18"/>
                <w:szCs w:val="18"/>
                <w:lang w:val="es-CO" w:eastAsia="es-CO"/>
              </w:rPr>
            </w:pPr>
            <w:r w:rsidRPr="00700E68">
              <w:rPr>
                <w:rFonts w:ascii="Arial" w:hAnsi="Arial" w:cs="Arial"/>
                <w:noProof/>
                <w:snapToGrid/>
                <w:sz w:val="18"/>
                <w:szCs w:val="18"/>
                <w:lang w:val="es-CO" w:eastAsia="es-CO"/>
              </w:rPr>
              <mc:AlternateContent>
                <mc:Choice Requires="wps">
                  <w:drawing>
                    <wp:anchor distT="0" distB="0" distL="114300" distR="114300" simplePos="0" relativeHeight="251716608" behindDoc="0" locked="0" layoutInCell="1" allowOverlap="1" wp14:anchorId="761EDF83" wp14:editId="19719B94">
                      <wp:simplePos x="0" y="0"/>
                      <wp:positionH relativeFrom="column">
                        <wp:posOffset>-106680</wp:posOffset>
                      </wp:positionH>
                      <wp:positionV relativeFrom="paragraph">
                        <wp:posOffset>-267970</wp:posOffset>
                      </wp:positionV>
                      <wp:extent cx="635" cy="9737725"/>
                      <wp:effectExtent l="0" t="0" r="37465" b="15875"/>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73772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8.4pt;margin-top:-21.1pt;width:.05pt;height:76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" strokecolor="black [3213]"/>
                  </w:pict>
                </mc:Fallback>
              </mc:AlternateContent>
            </w:r>
            <w:r w:rsidR="001643CB"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199932</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1643CB"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Categoría E </w:t>
            </w:r>
            <w:r w:rsidRPr="00700E68">
              <w:rPr>
                <w:rFonts w:ascii="Arial" w:hAnsi="Arial" w:cs="Arial"/>
                <w:snapToGrid/>
                <w:sz w:val="18"/>
                <w:szCs w:val="18"/>
                <w:lang w:val="es-CO" w:eastAsia="es-CO"/>
              </w:rPr>
              <w:noBreakHyphen/>
              <w:t xml:space="preserve"> crédito irrecuperable, vivienda, empleados</w:t>
            </w:r>
          </w:p>
        </w:tc>
      </w:tr>
      <w:tr w:rsidR="001643CB" w:rsidRPr="00700E68" w:rsidTr="0042684C">
        <w:trPr>
          <w:trHeight w:val="1388"/>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090</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42684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las inversiones de capital y en bonos obligatoriamente convertibles en acciones efectuadas en forma directa e indirecta en entidades sometidas al control y vigilancia de la SFC, respecto de las cuales no haya lugar a consolidación, sin incluir sus valorizaciones. Se exceptúan las inversiones de capital en Finagro y las inversiones efectuadas en otra institución financiera vigilada por la SFC para adelantar un proceso de adquisición de los que trata el artículo 63 del EOSF, durante los plazos establecidos en el inciso 2, numeral 2 ó en el parágrafo 2 del mismo artículo.</w:t>
            </w:r>
          </w:p>
        </w:tc>
      </w:tr>
      <w:tr w:rsidR="001643CB"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105</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1643CB"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préstamos a la Nación o garantizados por la Nación.</w:t>
            </w:r>
          </w:p>
        </w:tc>
      </w:tr>
      <w:tr w:rsidR="001643CB" w:rsidRPr="00700E68" w:rsidTr="00474096">
        <w:trPr>
          <w:trHeight w:val="67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116</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para vivienda con garantía hipotecaria, distintos de aquellos que hayan sido reestructurados, cuya calificación de acuerdo con las normas de la SFC sea diferente de "C", "D" y "E".</w:t>
            </w:r>
          </w:p>
        </w:tc>
      </w:tr>
      <w:tr w:rsidR="001643CB"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117</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para vivienda reestructurados cuya calificación crediticia de acuerdo con las normas de la SFC mejore a "A" o "B".</w:t>
            </w:r>
          </w:p>
        </w:tc>
      </w:tr>
      <w:tr w:rsidR="001643CB"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118</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para vivienda con garantía hipotecaria, distintos de aquellos que hayan sido reestructurados, cuya calificación de acuerdo con las normas de la SFC sea "C".</w:t>
            </w:r>
          </w:p>
        </w:tc>
      </w:tr>
      <w:tr w:rsidR="001643CB" w:rsidRPr="00700E68" w:rsidTr="00C26983">
        <w:trPr>
          <w:trHeight w:val="499"/>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121</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para vivienda garantizados con contratos irrevocables de fiducia mercantil en garantía del inmueble financiado (Decreto 2348/95), distintos de aquellos que hayan sido reestructurados.</w:t>
            </w:r>
          </w:p>
        </w:tc>
      </w:tr>
      <w:tr w:rsidR="001643CB" w:rsidRPr="00700E68" w:rsidTr="00474096">
        <w:trPr>
          <w:trHeight w:val="90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135</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otorgados o garantizados por los gobiernos, bancos centrales o entidades multilaterales cuyos títulos tengan calificación no inferir a "AA-" o "A1" de Standard and Poor's o sus equivalentes en las calificaciones de Fitch Ratings Colombia S.A. o de Moody's Investors Service, mientras mantengan las referidas calificaciones</w:t>
            </w:r>
            <w:r w:rsidR="001643CB" w:rsidRPr="00700E68">
              <w:rPr>
                <w:rFonts w:ascii="Arial" w:hAnsi="Arial" w:cs="Arial"/>
                <w:snapToGrid/>
                <w:sz w:val="18"/>
                <w:szCs w:val="18"/>
                <w:lang w:val="es-CO" w:eastAsia="es-CO"/>
              </w:rPr>
              <w:t>.</w:t>
            </w:r>
          </w:p>
        </w:tc>
      </w:tr>
      <w:tr w:rsidR="001643CB"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145</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garantizados incondicionalmente con títulos emitidos por la Nación o por el Banco de la República.</w:t>
            </w:r>
          </w:p>
        </w:tc>
      </w:tr>
      <w:tr w:rsidR="001643CB" w:rsidRPr="00700E68" w:rsidTr="00FD60E6">
        <w:trPr>
          <w:trHeight w:val="132"/>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155</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garantizados incondicionalmente con títulos emitidos por los gobiernos, bancos centrales o entidades multilaterales cuyos títulos tengan calificación no inferior a "AA-" o "A1" de Standard and Poor's o sus equivalentes en las calificaciones de Fitch Ratings Colombia S.A. o de Moody's Investors Service, mientras mantengan las referidas calificaciones.</w:t>
            </w:r>
          </w:p>
        </w:tc>
      </w:tr>
      <w:tr w:rsidR="001643CB" w:rsidRPr="00700E68" w:rsidTr="00474096">
        <w:trPr>
          <w:trHeight w:val="67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FD60E6" w:rsidRPr="00700E68" w:rsidRDefault="00FD60E6" w:rsidP="00FD52A1">
            <w:pPr>
              <w:jc w:val="center"/>
              <w:rPr>
                <w:rFonts w:ascii="Arial" w:hAnsi="Arial" w:cs="Arial"/>
                <w:snapToGrid/>
                <w:sz w:val="18"/>
                <w:szCs w:val="18"/>
                <w:lang w:val="es-CO" w:eastAsia="es-CO"/>
              </w:rPr>
            </w:pPr>
          </w:p>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169</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hipotecarios para vivienda a empleados, distintos de aquellos que hayan sido reestructurados, cuya calificación de acuerdo con las normas de la SFC sea "D" y "E", netos de provisión.</w:t>
            </w:r>
          </w:p>
        </w:tc>
      </w:tr>
      <w:tr w:rsidR="001643CB"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171</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hipotecarios para vivienda a empleados, que hayan sido reestructurados, cuya calificación de acuerdo con las normas de la SFC no se haya mejorado a "A" o "B", netos de provisión.</w:t>
            </w:r>
          </w:p>
        </w:tc>
      </w:tr>
      <w:tr w:rsidR="001643CB"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334</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otorgados a entidades territoriales y a entidades descentralizadas del orden territorial.</w:t>
            </w:r>
          </w:p>
        </w:tc>
      </w:tr>
      <w:tr w:rsidR="001643CB" w:rsidRPr="00700E68" w:rsidTr="00474096">
        <w:trPr>
          <w:trHeight w:val="180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341</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otorgados a entidades territoriales con capacidad de pago, esto es, que los intereses de la deuda no superen el 40% del ahorro operacional (entidades descritas en el artículo 2º de la Ley 358/97); o a entidades territoriales cuyo endeudamiento se sitúe en una relación intereses/ahorro operacional superior al 40% e inferior al 60% y el saldo de la deuda a la vigencia anterior no se incremente a una tasa superior a la variación del IPC proyectado por el Banco de la República para la vigencia (entidades descritas en el artículo 4 de la Ley 358/97), excepto los créditos garantizados totalmente por la Nación con garantía admisible y la porción de los créditos garantizados parcialmente por la Nación con garantía admisible.</w:t>
            </w:r>
          </w:p>
        </w:tc>
      </w:tr>
      <w:tr w:rsidR="001643CB" w:rsidRPr="00700E68" w:rsidTr="00111855">
        <w:trPr>
          <w:trHeight w:val="947"/>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343</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otorgados a las entidades descentralizadas del orden territorial (artículo 2.1.1.3.7 del Decreto 2555 de 2010), así como a entidades territoriales cuya relación intereses/ahorro operacional supere el 60% o su relación saldo de la deuda/ingresos corrientes supere el 80%, siempre y cuando la operación haya sido autorizada por Ministerio de Hacienda y Crédito Público (MHCP) y la entidad se encuentre cumpliendo con los compromisos adquiridos en el plan de desempeño (entidades descritas en el artículo 6, de la Ley 358/97).</w:t>
            </w:r>
          </w:p>
        </w:tc>
      </w:tr>
      <w:tr w:rsidR="001643CB"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432</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Exposición crediticia de instrumentos financieros derivados siempre que la contraparte sea una entidad no contemplada en las subcuentas 426 y 428.</w:t>
            </w:r>
          </w:p>
        </w:tc>
      </w:tr>
      <w:tr w:rsidR="001643CB" w:rsidRPr="00700E68" w:rsidTr="00474096">
        <w:trPr>
          <w:trHeight w:val="67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482</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de corto plazo otorgados a entidades territoriales cuya calificación de riesgo efectuada por las sociedades calificadoras autorizadas por la SFC sea "tres (3)", de acuerdo con lo establecido en el Capítulo 3 del Título 1 del Libro 1 de la Parte 2 del Decreto 2555 de 2010, netos de provisión.</w:t>
            </w:r>
          </w:p>
        </w:tc>
      </w:tr>
      <w:tr w:rsidR="001643CB" w:rsidRPr="00700E68" w:rsidTr="00474096">
        <w:trPr>
          <w:trHeight w:val="67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486</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de largo plazo otorgados a entidades territoriales cuya calificación de riesgo efectuada por las sociedades calificadoras autorizadas por la SFC sea "A", de acuerdo con lo establecido en el Capítulo 3 del Título 1 del Libro 1 de la Parte 2 del Decreto 2555 de 2010, netos de provisión.</w:t>
            </w:r>
          </w:p>
        </w:tc>
      </w:tr>
      <w:tr w:rsidR="001643CB"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503</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efectuadas en títulos  derivados de procesos de titularización con calificación de largo plazo, efectuada por agencia calificadora autorizada  por la SFC sea igual a: BBB+, BBB, y BBB-.</w:t>
            </w:r>
          </w:p>
        </w:tc>
      </w:tr>
      <w:tr w:rsidR="001643CB"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513</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efectuadas en títulos  derivados de procesos de titularización con calificación de corto plazo, efectuada por agencia calificadora autorizada  por la SFC sea igual a: 3.</w:t>
            </w:r>
          </w:p>
        </w:tc>
      </w:tr>
      <w:tr w:rsidR="001643CB" w:rsidRPr="00700E68" w:rsidTr="006B019B">
        <w:trPr>
          <w:trHeight w:val="217"/>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519</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Títulos  procedentes de procesos de titularización que sean mantenidos de manera </w:t>
            </w:r>
            <w:r w:rsidR="009E3550" w:rsidRPr="00700E68">
              <w:rPr>
                <w:rFonts w:ascii="Arial" w:hAnsi="Arial" w:cs="Arial"/>
                <w:noProof/>
                <w:snapToGrid/>
                <w:sz w:val="18"/>
                <w:szCs w:val="18"/>
                <w:lang w:val="es-CO" w:eastAsia="es-CO"/>
              </w:rPr>
              <w:lastRenderedPageBreak/>
              <mc:AlternateContent>
                <mc:Choice Requires="wps">
                  <w:drawing>
                    <wp:anchor distT="0" distB="0" distL="114300" distR="114300" simplePos="0" relativeHeight="251721728" behindDoc="0" locked="0" layoutInCell="1" allowOverlap="1" wp14:anchorId="366A4153" wp14:editId="2558EEB6">
                      <wp:simplePos x="0" y="0"/>
                      <wp:positionH relativeFrom="column">
                        <wp:posOffset>-1289050</wp:posOffset>
                      </wp:positionH>
                      <wp:positionV relativeFrom="paragraph">
                        <wp:posOffset>-266700</wp:posOffset>
                      </wp:positionV>
                      <wp:extent cx="635" cy="9635490"/>
                      <wp:effectExtent l="0" t="0" r="37465" b="22860"/>
                      <wp:wrapNone/>
                      <wp:docPr id="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63549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01.5pt;margin-top:-21pt;width:.05pt;height:758.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" strokecolor="black [3213]"/>
                  </w:pict>
                </mc:Fallback>
              </mc:AlternateContent>
            </w:r>
            <w:r w:rsidRPr="00700E68">
              <w:rPr>
                <w:rFonts w:ascii="Arial" w:hAnsi="Arial" w:cs="Arial"/>
                <w:snapToGrid/>
                <w:sz w:val="18"/>
                <w:szCs w:val="18"/>
                <w:lang w:val="es-CO" w:eastAsia="es-CO"/>
              </w:rPr>
              <w:t>incondicional por el originador, correspondientes a categoría III que ponderan al 100%, de acuerdo con lo señalado en el Capítulo 3 del Título 1 del Libro 1 de la Parte 2 del Decreto 2555 de 2010.</w:t>
            </w:r>
          </w:p>
        </w:tc>
      </w:tr>
      <w:tr w:rsidR="001643CB" w:rsidRPr="00700E68" w:rsidTr="00474096">
        <w:trPr>
          <w:trHeight w:val="90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lastRenderedPageBreak/>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522</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La exposición neta positiva en las operaciones de reporto o repo, operaciones simultáneas y operaciones de transferencia temporal de valores, siempre que la contraparte sea una entidad no contemplada en ninguna de las categorías anteriores, clasificada en la categoría IV de acuerdo con lo señalado en el artículo 2.1.1.3.2 del Decreto 2555 de 2010.</w:t>
            </w:r>
          </w:p>
        </w:tc>
      </w:tr>
      <w:tr w:rsidR="001643CB" w:rsidRPr="00700E68" w:rsidTr="00474096">
        <w:trPr>
          <w:trHeight w:val="90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655</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1643CB"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Valor de las inversiones en entidades vigiladas por la SFC, que sean consolidadas por otra entidad vigilada por la SFC, cuando dichas participaciones no puedan ser consideradas como interés minoritario por la consolidante, de acuerdo con lo establecido en el ordinal iii) del  literal b) del artículo 2.1.1.1.11 y el artículo 2.1.1.1.14 del Decreto 2555 de 2010.</w:t>
            </w:r>
          </w:p>
        </w:tc>
      </w:tr>
      <w:tr w:rsidR="001643CB"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1643CB" w:rsidRPr="00700E68" w:rsidRDefault="001643CB"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705</w:t>
            </w:r>
          </w:p>
        </w:tc>
        <w:tc>
          <w:tcPr>
            <w:tcW w:w="7512" w:type="dxa"/>
            <w:tcBorders>
              <w:top w:val="nil"/>
              <w:left w:val="nil"/>
              <w:bottom w:val="single" w:sz="4" w:space="0" w:color="auto"/>
              <w:right w:val="single" w:sz="4" w:space="0" w:color="auto"/>
            </w:tcBorders>
            <w:shd w:val="clear" w:color="99CC00" w:fill="auto"/>
            <w:vAlign w:val="center"/>
            <w:hideMark/>
          </w:tcPr>
          <w:p w:rsidR="001643CB" w:rsidRPr="00700E68" w:rsidRDefault="008C608A" w:rsidP="00C04F92">
            <w:pPr>
              <w:jc w:val="both"/>
              <w:rPr>
                <w:rFonts w:ascii="Arial" w:hAnsi="Arial" w:cs="Arial"/>
                <w:snapToGrid/>
                <w:sz w:val="18"/>
                <w:szCs w:val="18"/>
                <w:lang w:val="es-CO" w:eastAsia="es-CO"/>
              </w:rPr>
            </w:pPr>
            <w:r w:rsidRPr="00700E68">
              <w:rPr>
                <w:rFonts w:ascii="Arial" w:hAnsi="Arial" w:cs="Arial"/>
                <w:snapToGrid/>
                <w:sz w:val="18"/>
                <w:szCs w:val="18"/>
                <w:lang w:val="es-CO" w:eastAsia="es-CO"/>
              </w:rPr>
              <w:t>Valor de la provisión de las inversiones de capital en entidades vigiladas por la SFC (sin incluir sus valorizaciones),  respecto de las cuales no haya lugar a consolidación y que sean consolidadas por otra entidad vigilada por la SFC, cuando dichas participaciones no puedan ser consideradas como interés minoritario por la consolidante, de acuerdo con lo establecido en el ordinal iii) del  literal b) del artículo 2.1.1.1.11 y el artículo 2.1.1.1.14 del Decreto 2555 de 2010.</w:t>
            </w:r>
          </w:p>
        </w:tc>
      </w:tr>
      <w:tr w:rsidR="00B6371C" w:rsidRPr="00700E68" w:rsidTr="00474096">
        <w:trPr>
          <w:trHeight w:val="67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E60A23">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E60A23">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706</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8C608A" w:rsidP="00C04F92">
            <w:pPr>
              <w:jc w:val="both"/>
              <w:rPr>
                <w:rFonts w:ascii="Arial" w:hAnsi="Arial" w:cs="Arial"/>
                <w:snapToGrid/>
                <w:sz w:val="18"/>
                <w:szCs w:val="18"/>
                <w:lang w:val="es-CO" w:eastAsia="es-CO"/>
              </w:rPr>
            </w:pPr>
            <w:r w:rsidRPr="00700E68">
              <w:rPr>
                <w:rFonts w:ascii="Arial" w:hAnsi="Arial" w:cs="Arial"/>
                <w:snapToGrid/>
                <w:sz w:val="18"/>
                <w:szCs w:val="18"/>
                <w:lang w:val="es-CO" w:eastAsia="es-CO"/>
              </w:rPr>
              <w:t>Valor de la provisión de las inversiones de capital y en bonos convertibles en acciones efectuadas de forma directa e indirecta en entidades financieras del exterior, respecto de las cuales no haya lugar a consolidación, sin incluir sus valorizaciones e incluyendo su ajuste de cambio.</w:t>
            </w:r>
          </w:p>
        </w:tc>
      </w:tr>
      <w:tr w:rsidR="00B6371C" w:rsidRPr="00700E68" w:rsidTr="00FD60E6">
        <w:trPr>
          <w:trHeight w:val="132"/>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E60A23">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8C608A" w:rsidP="00E60A23">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w:t>
            </w:r>
            <w:r w:rsidR="00B6371C" w:rsidRPr="00700E68">
              <w:rPr>
                <w:rFonts w:ascii="Arial" w:hAnsi="Arial" w:cs="Arial"/>
                <w:snapToGrid/>
                <w:sz w:val="18"/>
                <w:szCs w:val="18"/>
                <w:lang w:val="es-CO" w:eastAsia="es-CO"/>
              </w:rPr>
              <w:t xml:space="preserve">  710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8C608A" w:rsidP="00C04F92">
            <w:pPr>
              <w:jc w:val="both"/>
              <w:rPr>
                <w:rFonts w:ascii="Arial" w:hAnsi="Arial" w:cs="Arial"/>
                <w:snapToGrid/>
                <w:sz w:val="18"/>
                <w:szCs w:val="18"/>
                <w:lang w:val="es-CO" w:eastAsia="es-CO"/>
              </w:rPr>
            </w:pPr>
            <w:r w:rsidRPr="00700E68">
              <w:rPr>
                <w:rFonts w:ascii="Arial" w:hAnsi="Arial" w:cs="Arial"/>
                <w:snapToGrid/>
                <w:sz w:val="18"/>
                <w:szCs w:val="18"/>
                <w:lang w:val="es-CO" w:eastAsia="es-CO"/>
              </w:rPr>
              <w:t>Valor de la provisión de las inversiones de capital y en bonos convertibles en acciones efectuadas de forma directa e indirecta en entidades sometidas a la vigilancia de la SFC, respecto de las cuales no haya lugar a consolidación, sin incluir sus valorizaciones. Se excluyen las provisiones reportadas en la subcuenta 705 y las provisiones de las inversiones de capital en Finagro y las inversiones efectuadas en otra institución financiera vigilada por la SFC para adelantar un proceso de adquisición de los que trata el artículo 63 del Estatuto Orgánico del Sistema Financiero (EOSF), durante los plazos establecidos en el inciso 2, numeral 2 ó en el parágrafo 2 del mismo artículo.</w:t>
            </w:r>
          </w:p>
        </w:tc>
      </w:tr>
      <w:tr w:rsidR="00B6371C" w:rsidRPr="00700E68" w:rsidTr="00474096">
        <w:trPr>
          <w:trHeight w:val="67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715</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8C608A"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Valor de la provisión de las inversiones de capital y en bonos convertibles en acciones de entidades financieras del exterior o de entidades sometidas a la vigilancia de la SFC, diferentes a las reportadas en las subcuentas 705, 706 y 710.</w:t>
            </w:r>
          </w:p>
        </w:tc>
      </w:tr>
      <w:tr w:rsidR="00B6371C"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138600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B6371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inversiones negociables en títulos de deuda</w:t>
            </w:r>
          </w:p>
        </w:tc>
      </w:tr>
      <w:tr w:rsidR="00B6371C"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138700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B6371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inversiones negociables en títulos participativos</w:t>
            </w:r>
          </w:p>
        </w:tc>
      </w:tr>
      <w:tr w:rsidR="00B6371C"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138800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B6371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inversiones para mantener hasta el vencimiento</w:t>
            </w:r>
          </w:p>
        </w:tc>
      </w:tr>
      <w:tr w:rsidR="00B6371C"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139000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B6371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inversiones disponibles para la venta en títulos de deuda</w:t>
            </w:r>
          </w:p>
        </w:tc>
      </w:tr>
      <w:tr w:rsidR="00B6371C"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139100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B6371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inversiones disponibles para la venta en títulos participativos</w:t>
            </w:r>
          </w:p>
        </w:tc>
      </w:tr>
      <w:tr w:rsidR="00B6371C"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189500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B6371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Depreciación y amortización acumulada</w:t>
            </w:r>
          </w:p>
        </w:tc>
      </w:tr>
      <w:tr w:rsidR="00B6371C"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189800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B6371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Depreciación diferida</w:t>
            </w:r>
          </w:p>
        </w:tc>
      </w:tr>
      <w:tr w:rsidR="00B6371C"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189905</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B6371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Propiedades y equipo</w:t>
            </w:r>
          </w:p>
        </w:tc>
      </w:tr>
      <w:tr w:rsidR="00B6371C"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189910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B6371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Bienes dados en leasing operativo</w:t>
            </w:r>
          </w:p>
        </w:tc>
      </w:tr>
      <w:tr w:rsidR="00B6371C"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199600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B6371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Desvalorizaciones (cr)</w:t>
            </w:r>
          </w:p>
        </w:tc>
      </w:tr>
      <w:tr w:rsidR="006B46D4"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tcPr>
          <w:p w:rsidR="006B46D4" w:rsidRPr="00700E68" w:rsidRDefault="006B46D4"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tcPr>
          <w:p w:rsidR="006B46D4" w:rsidRPr="00700E68" w:rsidRDefault="006B46D4"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+695</w:t>
            </w:r>
          </w:p>
        </w:tc>
        <w:tc>
          <w:tcPr>
            <w:tcW w:w="7512" w:type="dxa"/>
            <w:tcBorders>
              <w:top w:val="nil"/>
              <w:left w:val="nil"/>
              <w:bottom w:val="single" w:sz="4" w:space="0" w:color="auto"/>
              <w:right w:val="single" w:sz="4" w:space="0" w:color="auto"/>
            </w:tcBorders>
            <w:shd w:val="clear" w:color="99CC00" w:fill="auto"/>
            <w:vAlign w:val="center"/>
          </w:tcPr>
          <w:p w:rsidR="006B46D4" w:rsidRPr="00700E68" w:rsidRDefault="006B46D4"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Desvalorizaciones en las inversiones de las que trata la subcuenta 082 que estén clasificadas como disponibles para la venta en títulos participativos de baja, mínima o ninguna bursatilidad y aquellos no listados en bolsa.</w:t>
            </w:r>
          </w:p>
        </w:tc>
      </w:tr>
      <w:tr w:rsidR="006B46D4"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tcPr>
          <w:p w:rsidR="006B46D4" w:rsidRPr="00700E68" w:rsidRDefault="006B46D4"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tcPr>
          <w:p w:rsidR="006B46D4" w:rsidRPr="00700E68" w:rsidRDefault="006B46D4"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+696</w:t>
            </w:r>
          </w:p>
        </w:tc>
        <w:tc>
          <w:tcPr>
            <w:tcW w:w="7512" w:type="dxa"/>
            <w:tcBorders>
              <w:top w:val="nil"/>
              <w:left w:val="nil"/>
              <w:bottom w:val="single" w:sz="4" w:space="0" w:color="auto"/>
              <w:right w:val="single" w:sz="4" w:space="0" w:color="auto"/>
            </w:tcBorders>
            <w:shd w:val="clear" w:color="99CC00" w:fill="auto"/>
            <w:vAlign w:val="center"/>
          </w:tcPr>
          <w:p w:rsidR="006B46D4" w:rsidRPr="00700E68" w:rsidRDefault="006B46D4"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Desvalorizaciones en las inversiones de las que trata la subcuenta 650 que estén clasificadas como disponibles para la venta en títulos participativos de baja, mínima o ninguna bursatilidad y aquellos no listados en bolsa.</w:t>
            </w:r>
          </w:p>
        </w:tc>
      </w:tr>
      <w:tr w:rsidR="006B46D4"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tcPr>
          <w:p w:rsidR="006B46D4" w:rsidRPr="00700E68" w:rsidRDefault="006B46D4"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tcPr>
          <w:p w:rsidR="006B46D4" w:rsidRPr="00700E68" w:rsidRDefault="006B46D4"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-700</w:t>
            </w:r>
          </w:p>
        </w:tc>
        <w:tc>
          <w:tcPr>
            <w:tcW w:w="7512" w:type="dxa"/>
            <w:tcBorders>
              <w:top w:val="nil"/>
              <w:left w:val="nil"/>
              <w:bottom w:val="single" w:sz="4" w:space="0" w:color="auto"/>
              <w:right w:val="single" w:sz="4" w:space="0" w:color="auto"/>
            </w:tcBorders>
            <w:shd w:val="clear" w:color="99CC00" w:fill="auto"/>
            <w:vAlign w:val="center"/>
          </w:tcPr>
          <w:p w:rsidR="006B46D4" w:rsidRPr="00700E68" w:rsidRDefault="006B46D4"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Desvalorizaciones en las inversiones de las que trata la subcuenta 655 que estén clasificadas como disponibles para la venta en títulos participativos de baja, mínima o ninguna bursatilidad y aquellos no listados en bolsa.</w:t>
            </w:r>
          </w:p>
        </w:tc>
      </w:tr>
      <w:tr w:rsidR="00B6371C"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199900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B6371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otros activos</w:t>
            </w:r>
          </w:p>
        </w:tc>
      </w:tr>
      <w:tr w:rsidR="00B6371C" w:rsidRPr="00700E68" w:rsidTr="00474096">
        <w:trPr>
          <w:trHeight w:val="180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082</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B6371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de capital, así como las inversiones en bonos obligatoriamente convertibles en acciones, en bonos subordinados opcionalmente convertibles en acciones o, en general en instrumentos de deuda subordinada, efectuadas en forma directa e indirecta en entidades sometidas al control y vigilancia de la Superintendencia Financiera de Colombia (SFC), respecto de las cuales no haya lugar a consolidación, sin incluir sus valorizaciones. Se exceptúan las inversiones de capital en Finagro y las inversiones efectuadas en otra institución financiera vigilada por la SFC para adelantar un proceso de adquisición de los que trata el artículo 63 del Estatuto Orgánico del Sistema Financiero (EOSF), durante los plazos establecidos en el inciso 2, numeral 2 ó en el parágrafo 2 del mismo artículo.</w:t>
            </w:r>
          </w:p>
        </w:tc>
      </w:tr>
      <w:tr w:rsidR="00B6371C"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100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B6371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Préstamos a la Nación o garantizados por la Nación.</w:t>
            </w:r>
          </w:p>
        </w:tc>
      </w:tr>
      <w:tr w:rsidR="00B6371C"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109</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42684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para vivienda garantizados con contratos irrevocables de fiducia mercantil en garantía del inmueble financiado (Decreto 2348/95), distintos de aquellos que hayan sido  reestructurados.</w:t>
            </w:r>
          </w:p>
        </w:tc>
      </w:tr>
      <w:tr w:rsidR="00B6371C"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111</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42684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Créditos para vivienda con garantía hipotecaria, distintos de aquellos que hayan sido reestructurados, cuya calificación de acuerdo con las normas de la SFC sea diferente de "C", "D" y "E".  </w:t>
            </w:r>
          </w:p>
        </w:tc>
      </w:tr>
      <w:tr w:rsidR="00B6371C"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9E3550" w:rsidP="00FD52A1">
            <w:pPr>
              <w:jc w:val="center"/>
              <w:rPr>
                <w:rFonts w:ascii="Arial" w:hAnsi="Arial" w:cs="Arial"/>
                <w:snapToGrid/>
                <w:sz w:val="18"/>
                <w:szCs w:val="18"/>
                <w:lang w:val="es-CO" w:eastAsia="es-CO"/>
              </w:rPr>
            </w:pPr>
            <w:r w:rsidRPr="00700E68">
              <w:rPr>
                <w:rFonts w:ascii="Arial" w:hAnsi="Arial" w:cs="Arial"/>
                <w:noProof/>
                <w:snapToGrid/>
                <w:sz w:val="18"/>
                <w:szCs w:val="18"/>
                <w:lang w:val="es-CO" w:eastAsia="es-CO"/>
              </w:rPr>
              <w:lastRenderedPageBreak/>
              <mc:AlternateContent>
                <mc:Choice Requires="wps">
                  <w:drawing>
                    <wp:anchor distT="0" distB="0" distL="114300" distR="114300" simplePos="0" relativeHeight="251731968" behindDoc="0" locked="0" layoutInCell="1" allowOverlap="1" wp14:anchorId="5FCA82A0" wp14:editId="77020B0A">
                      <wp:simplePos x="0" y="0"/>
                      <wp:positionH relativeFrom="column">
                        <wp:posOffset>-103505</wp:posOffset>
                      </wp:positionH>
                      <wp:positionV relativeFrom="paragraph">
                        <wp:posOffset>-266700</wp:posOffset>
                      </wp:positionV>
                      <wp:extent cx="0" cy="9686925"/>
                      <wp:effectExtent l="0" t="0" r="19050" b="9525"/>
                      <wp:wrapNone/>
                      <wp:docPr id="24" name="24 Conector recto"/>
                      <wp:cNvGraphicFramePr/>
                      <a:graphic xmlns:a="http://schemas.openxmlformats.org/drawingml/2006/main">
                        <a:graphicData uri="http://schemas.microsoft.com/office/word/2010/wordprocessingShape">
                          <wps:wsp>
                            <wps:cNvCnPr/>
                            <wps:spPr>
                              <a:xfrm>
                                <a:off x="0" y="0"/>
                                <a:ext cx="0" cy="9686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4 Conector recto"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21pt" to="-8.1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" strokecolor="black [3213]"/>
                  </w:pict>
                </mc:Fallback>
              </mc:AlternateContent>
            </w:r>
            <w:r w:rsidR="00B6371C"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112</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para vivienda reestructurados cuya calificación crediticia, de acuerdo con las normas de la SFC, mejore a "A" o "B".</w:t>
            </w:r>
          </w:p>
        </w:tc>
      </w:tr>
      <w:tr w:rsidR="00B6371C"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113</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42684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para vivienda con garantía hipotecaria, distintos de aquellos que hayan sido reestructurados, cuya calificación de acuerdo con las normas de la SFC sea "C".</w:t>
            </w:r>
          </w:p>
        </w:tc>
      </w:tr>
      <w:tr w:rsidR="00B6371C" w:rsidRPr="00700E68" w:rsidTr="00C26983">
        <w:trPr>
          <w:trHeight w:val="676"/>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130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otorgados o garantizados por los gobiernos, bancos centrales o entidades multilaterales cuyos títulos tengan calificación no inferior a "AA-" o "A1" de Standard and Poor's o sus equivalentes en las calificaciones de Fitch Ratings Colombia S.A. o de Moody's Investors Service, mientras mantengan las referidas calificaciones.</w:t>
            </w:r>
          </w:p>
        </w:tc>
      </w:tr>
      <w:tr w:rsidR="00B6371C"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140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B6371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garantizados incondicionalmente con títulos emitidos por la Nación o por el Banco de la República.</w:t>
            </w:r>
          </w:p>
        </w:tc>
      </w:tr>
      <w:tr w:rsidR="00B6371C" w:rsidRPr="00700E68" w:rsidTr="00474096">
        <w:trPr>
          <w:trHeight w:val="343"/>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150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garantizados incondicionalmente con títulos emitidos por los gobiernos, bancos centrales o entidades multilaterales cuyos títulos tengan calificación no inferior a "AA-" o "A1" de Standard and Poor's o sus equivalentes en las calificaciones de Fitch Ratings Colombia S.A. o Moody's Investors Service, mientras mantengan las referidas calificaciones.</w:t>
            </w:r>
          </w:p>
        </w:tc>
      </w:tr>
      <w:tr w:rsidR="00B6371C" w:rsidRPr="00700E68" w:rsidTr="00474096">
        <w:trPr>
          <w:trHeight w:val="67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175</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Derechos fiduciarios constituidos en desarrollo de procesos de titularización de activos de máxima seguridad que clasifiquen en la categoría I de acuerdo con lo establecido en el Capítulo 3 del Título 1 del Libro 1 de la Parte 2 del Decreto 2555 de 2010.</w:t>
            </w:r>
          </w:p>
        </w:tc>
      </w:tr>
      <w:tr w:rsidR="00B6371C" w:rsidRPr="00700E68" w:rsidTr="00C26983">
        <w:trPr>
          <w:trHeight w:val="479"/>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180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Derechos fiduciarios constituidos en desarrollo de procesos de titularización de activos de alta seguridad que clasifiquen en la  categoría II de acuerdo con lo establecido en el Capítulo 3 del Título 1 del Libro 1 de la Parte 2 del Decreto 2555 de 2010.</w:t>
            </w:r>
          </w:p>
        </w:tc>
      </w:tr>
      <w:tr w:rsidR="00B6371C" w:rsidRPr="00700E68" w:rsidTr="00474096">
        <w:trPr>
          <w:trHeight w:val="67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185</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C26983" w:rsidP="00C26983">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Derechos fiduciarios constituidos en desarrollo de procesos de titularización de activos de alta seguridad y baja liquidez que clasifiquen en la categoría III de acuerdo con lo establecido en el Capítulo 3 del Título 1 del Libro 1 de la Parte 2 del Decreto 2555 de 2010.</w:t>
            </w:r>
          </w:p>
        </w:tc>
      </w:tr>
      <w:tr w:rsidR="00B6371C" w:rsidRPr="00700E68" w:rsidTr="00474096">
        <w:trPr>
          <w:trHeight w:val="67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Derechos fiduciarios constituidos en desarrollo de procesos de titularización de bienes entregados en leasing que clasifiquen en la  categoría IV de acuerdo con lo establecido en el Capítulo 3 del Título 1 del Libro 1 de la Parte 2 del Decreto 2555 de 2010.</w:t>
            </w:r>
          </w:p>
        </w:tc>
      </w:tr>
      <w:tr w:rsidR="00B6371C" w:rsidRPr="00700E68" w:rsidTr="00474096">
        <w:trPr>
          <w:trHeight w:val="45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FD60E6" w:rsidRPr="00700E68" w:rsidRDefault="00FD60E6" w:rsidP="00FD52A1">
            <w:pPr>
              <w:jc w:val="center"/>
              <w:rPr>
                <w:rFonts w:ascii="Arial" w:hAnsi="Arial" w:cs="Arial"/>
                <w:snapToGrid/>
                <w:sz w:val="18"/>
                <w:szCs w:val="18"/>
                <w:lang w:val="es-CO" w:eastAsia="es-CO"/>
              </w:rPr>
            </w:pPr>
          </w:p>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310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Los depósitos de dinero otorgados como mecanismos de seguridad por el originador en procesos de titularización al patrimonio autónomo, mientras se mantengan en el balance del originador.</w:t>
            </w:r>
          </w:p>
        </w:tc>
      </w:tr>
      <w:tr w:rsidR="00B6371C" w:rsidRPr="00700E68" w:rsidTr="00474096">
        <w:trPr>
          <w:trHeight w:val="34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320</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Los mecanismos de seguridad otorgados por el originador en procesos de titularización al patrimonio autónomo, mientras se mantengan en el balance del originador. (Sobrecolateralización de la cartera, subordinación de la emisión y contratos).</w:t>
            </w:r>
          </w:p>
        </w:tc>
      </w:tr>
      <w:tr w:rsidR="00B6371C" w:rsidRPr="00700E68" w:rsidTr="00474096">
        <w:trPr>
          <w:trHeight w:val="22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333</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otorgados a entidades territoriales y a entidades descentralizadas del orden territorial.</w:t>
            </w:r>
          </w:p>
        </w:tc>
      </w:tr>
      <w:tr w:rsidR="00B6371C" w:rsidRPr="00700E68" w:rsidTr="00474096">
        <w:trPr>
          <w:trHeight w:val="1437"/>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342</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otorgados a entidades territoriales con capacidad de pago, esto es, que los intereses de la deuda no superen el 40% del ahorro operacional (entidades descritas en el artículo 2 de la Ley 358/97); o a entidades territoriales cuyo endeudamiento se situé en una relación intereses/ahorro operacional superior al 40% e inferior al 60% y el saldo de la deuda a la vigencia anterior no se incremente a una tasa superior a la variación del IPC proyectado por el Banco de la República para la vigencia (entidades descritas en el artículo 4 de la Ley 358/97), excepto la provisión de los créditos garantizados totalmente por la Nación con garantía admisible y la porción de la provisión de los créditos garantizados parcialmente por la Nación con garantía admisible.</w:t>
            </w:r>
          </w:p>
        </w:tc>
      </w:tr>
      <w:tr w:rsidR="00B6371C" w:rsidRPr="00700E68" w:rsidTr="00111855">
        <w:trPr>
          <w:trHeight w:val="359"/>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344</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Provisión de créditos otorgados a las entidades descentralizadas del orden territorial (artículo 2.1.1.3.7 del Decreto 2555 de 2010), así como la provisión de los créditos otorgados a entidades territoriales cuya relación intereses/ahorro operacional supere el 60% o su relación saldo de la deuda/ingresos corrientes supere el 80%, siempre y cuando la operación haya sido autorizada por MHCP y la entidad se encuentre cumpliendo con los compromisos adquiridos en el plan de desempeño (entid</w:t>
            </w:r>
            <w:r w:rsidR="00737169" w:rsidRPr="00700E68">
              <w:rPr>
                <w:rFonts w:ascii="Arial" w:hAnsi="Arial" w:cs="Arial"/>
                <w:snapToGrid/>
                <w:sz w:val="18"/>
                <w:szCs w:val="18"/>
                <w:lang w:val="es-CO" w:eastAsia="es-CO"/>
              </w:rPr>
              <w:t>ades descritas en el artículo 6</w:t>
            </w:r>
            <w:r w:rsidRPr="00700E68">
              <w:rPr>
                <w:rFonts w:ascii="Arial" w:hAnsi="Arial" w:cs="Arial"/>
                <w:snapToGrid/>
                <w:sz w:val="18"/>
                <w:szCs w:val="18"/>
                <w:lang w:val="es-CO" w:eastAsia="es-CO"/>
              </w:rPr>
              <w:t xml:space="preserve"> de la Ley 358/97).</w:t>
            </w:r>
          </w:p>
        </w:tc>
      </w:tr>
      <w:tr w:rsidR="00B6371C" w:rsidRPr="00700E68" w:rsidTr="00474096">
        <w:trPr>
          <w:trHeight w:val="144"/>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356</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B6371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Bienes entregados en leasing financiero inmobiliario para vivienda y leasing habitacional, contabilizados en el grupo 14, netos de provisiones y amortización. </w:t>
            </w:r>
          </w:p>
        </w:tc>
      </w:tr>
      <w:tr w:rsidR="00B6371C" w:rsidRPr="00700E68" w:rsidTr="00474096">
        <w:trPr>
          <w:trHeight w:val="264"/>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361</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B6371C"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 xml:space="preserve">Bienes entregados en leasing financiero diferentes a leasing inmobiliario para vivienda y leasing habitacional contabilizados en el grupo 14, netos de provisiones y amortización. </w:t>
            </w:r>
          </w:p>
        </w:tc>
      </w:tr>
      <w:tr w:rsidR="00B6371C" w:rsidRPr="00700E68" w:rsidTr="00474096">
        <w:trPr>
          <w:trHeight w:val="369"/>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363</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Aeronaves entregadas en leasing financiero a la Nación o empresas comerciales del estado contabilizados en el grupo 14, netos de provisiones y amortización (Capítulo 3 del Título 1 del Libro 1 de la Parte 2 del Decreto 2555 de 2010).</w:t>
            </w:r>
          </w:p>
        </w:tc>
      </w:tr>
      <w:tr w:rsidR="00B6371C" w:rsidRPr="00700E68" w:rsidTr="00474096">
        <w:trPr>
          <w:trHeight w:val="394"/>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364</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Aeronaves entregadas en leasing operativo a la Nación o empresas comerciales del estado contabilizados en la cuenta 1861, netos de provisiones y amortización (Capítulo 3 del Título 1 del Libro 1 de la Parte 2 del Decreto 2555 de 2010).</w:t>
            </w:r>
          </w:p>
        </w:tc>
      </w:tr>
      <w:tr w:rsidR="00B6371C" w:rsidRPr="00700E68" w:rsidTr="00474096">
        <w:trPr>
          <w:trHeight w:val="675"/>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399</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forzosas adquiridas por la entidad para cumplir con disposiciones legales o reglamentarias clasificadas dentro de la categoría IV (ponderan al 100%) de acuerdo con lo establecido en el Capítulo 3 del Título 1 del Libro 1 de la Parte 2 del Decreto 2555 de 2010.</w:t>
            </w:r>
          </w:p>
        </w:tc>
      </w:tr>
      <w:tr w:rsidR="00B6371C" w:rsidRPr="00700E68" w:rsidTr="00474096">
        <w:trPr>
          <w:trHeight w:val="300"/>
        </w:trPr>
        <w:tc>
          <w:tcPr>
            <w:tcW w:w="856" w:type="dxa"/>
            <w:tcBorders>
              <w:top w:val="nil"/>
              <w:left w:val="single" w:sz="4" w:space="0" w:color="auto"/>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92" w:type="dxa"/>
            <w:tcBorders>
              <w:top w:val="nil"/>
              <w:left w:val="nil"/>
              <w:bottom w:val="single" w:sz="4" w:space="0" w:color="auto"/>
              <w:right w:val="single" w:sz="4" w:space="0" w:color="auto"/>
            </w:tcBorders>
            <w:shd w:val="clear" w:color="99CC00" w:fill="auto"/>
            <w:noWrap/>
            <w:vAlign w:val="center"/>
            <w:hideMark/>
          </w:tcPr>
          <w:p w:rsidR="00B6371C" w:rsidRPr="00700E68" w:rsidRDefault="00B6371C"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433</w:t>
            </w:r>
          </w:p>
        </w:tc>
        <w:tc>
          <w:tcPr>
            <w:tcW w:w="7512" w:type="dxa"/>
            <w:tcBorders>
              <w:top w:val="nil"/>
              <w:left w:val="nil"/>
              <w:bottom w:val="single" w:sz="4" w:space="0" w:color="auto"/>
              <w:right w:val="single" w:sz="4" w:space="0" w:color="auto"/>
            </w:tcBorders>
            <w:shd w:val="clear" w:color="99CC00" w:fill="auto"/>
            <w:vAlign w:val="center"/>
            <w:hideMark/>
          </w:tcPr>
          <w:p w:rsidR="00B6371C"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Garantías en efectivo entregadas para respaldar la realización de operaciones con instrumentos financieros derivados, que sean compensadas y liquidadas a través de una Cámara de Riesgo Central de Contraparte, en las cuales dicha Cámara se interponga como contraparte. Dichas garantías se deberán contabilizar en la cuenta 196015 del PUC Financiero.</w:t>
            </w:r>
          </w:p>
        </w:tc>
      </w:tr>
    </w:tbl>
    <w:p w:rsidR="009A6158" w:rsidRDefault="009A6158">
      <w:pPr>
        <w:sectPr w:rsidR="009A6158" w:rsidSect="009A6158">
          <w:headerReference w:type="default" r:id="rId32"/>
          <w:footerReference w:type="default" r:id="rId33"/>
          <w:pgSz w:w="12240" w:h="18720" w:code="14"/>
          <w:pgMar w:top="1148" w:right="1134" w:bottom="1701" w:left="1701" w:header="567" w:footer="567" w:gutter="0"/>
          <w:paperSrc w:first="15"/>
          <w:pgNumType w:start="75"/>
          <w:cols w:space="720"/>
          <w:noEndnote/>
          <w:docGrid w:linePitch="272"/>
        </w:sectPr>
      </w:pPr>
    </w:p>
    <w:tbl>
      <w:tblPr>
        <w:tblW w:w="9360" w:type="dxa"/>
        <w:tblInd w:w="65" w:type="dxa"/>
        <w:tblCellMar>
          <w:left w:w="70" w:type="dxa"/>
          <w:right w:w="70" w:type="dxa"/>
        </w:tblCellMar>
        <w:tblLook w:val="04A0" w:firstRow="1" w:lastRow="0" w:firstColumn="1" w:lastColumn="0" w:noHBand="0" w:noVBand="1"/>
      </w:tblPr>
      <w:tblGrid>
        <w:gridCol w:w="821"/>
        <w:gridCol w:w="1061"/>
        <w:gridCol w:w="7478"/>
      </w:tblGrid>
      <w:tr w:rsidR="009A6158" w:rsidRPr="00E33C34" w:rsidTr="00CD6F78">
        <w:trPr>
          <w:trHeight w:val="344"/>
        </w:trPr>
        <w:tc>
          <w:tcPr>
            <w:tcW w:w="821"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9A6158" w:rsidRPr="00E33C34" w:rsidRDefault="009A6158" w:rsidP="00CD6F78">
            <w:pPr>
              <w:jc w:val="center"/>
              <w:rPr>
                <w:rFonts w:ascii="Arial" w:hAnsi="Arial" w:cs="Arial"/>
                <w:b/>
                <w:bCs/>
                <w:snapToGrid/>
                <w:sz w:val="18"/>
                <w:szCs w:val="18"/>
                <w:lang w:val="es-CO" w:eastAsia="es-CO"/>
              </w:rPr>
            </w:pPr>
            <w:r w:rsidRPr="00E33C34">
              <w:rPr>
                <w:rFonts w:ascii="Arial" w:hAnsi="Arial" w:cs="Arial"/>
                <w:b/>
                <w:bCs/>
                <w:snapToGrid/>
                <w:sz w:val="18"/>
                <w:szCs w:val="18"/>
                <w:lang w:val="es-CO" w:eastAsia="es-CO"/>
              </w:rPr>
              <w:lastRenderedPageBreak/>
              <w:t>Reporte</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rsidR="009A6158" w:rsidRPr="00E33C34" w:rsidRDefault="009A6158" w:rsidP="00CD6F78">
            <w:pPr>
              <w:jc w:val="center"/>
              <w:rPr>
                <w:rFonts w:ascii="Arial" w:hAnsi="Arial" w:cs="Arial"/>
                <w:b/>
                <w:bCs/>
                <w:snapToGrid/>
                <w:color w:val="000000"/>
                <w:sz w:val="18"/>
                <w:szCs w:val="18"/>
                <w:lang w:val="es-CO" w:eastAsia="es-CO"/>
              </w:rPr>
            </w:pPr>
            <w:r w:rsidRPr="00E33C34">
              <w:rPr>
                <w:rFonts w:ascii="Arial" w:hAnsi="Arial" w:cs="Arial"/>
                <w:b/>
                <w:bCs/>
                <w:snapToGrid/>
                <w:color w:val="000000"/>
                <w:sz w:val="18"/>
                <w:szCs w:val="18"/>
                <w:lang w:val="es-CO" w:eastAsia="es-CO"/>
              </w:rPr>
              <w:t>Cuenta/</w:t>
            </w:r>
            <w:r w:rsidRPr="00E33C34">
              <w:rPr>
                <w:rFonts w:ascii="Arial" w:hAnsi="Arial" w:cs="Arial"/>
                <w:b/>
                <w:bCs/>
                <w:snapToGrid/>
                <w:color w:val="000000"/>
                <w:sz w:val="18"/>
                <w:szCs w:val="18"/>
                <w:lang w:val="es-CO" w:eastAsia="es-CO"/>
              </w:rPr>
              <w:br/>
              <w:t>Subcuenta</w:t>
            </w:r>
          </w:p>
        </w:tc>
        <w:tc>
          <w:tcPr>
            <w:tcW w:w="7478" w:type="dxa"/>
            <w:tcBorders>
              <w:top w:val="single" w:sz="4" w:space="0" w:color="auto"/>
              <w:left w:val="nil"/>
              <w:bottom w:val="single" w:sz="4" w:space="0" w:color="auto"/>
              <w:right w:val="single" w:sz="4" w:space="0" w:color="auto"/>
            </w:tcBorders>
            <w:shd w:val="clear" w:color="99CC00" w:fill="D9D9D9"/>
            <w:vAlign w:val="center"/>
            <w:hideMark/>
          </w:tcPr>
          <w:p w:rsidR="009A6158" w:rsidRPr="00E33C34" w:rsidRDefault="009A6158" w:rsidP="00CD6F78">
            <w:pPr>
              <w:jc w:val="center"/>
              <w:rPr>
                <w:rFonts w:ascii="Arial" w:hAnsi="Arial" w:cs="Arial"/>
                <w:b/>
                <w:bCs/>
                <w:snapToGrid/>
                <w:sz w:val="18"/>
                <w:szCs w:val="18"/>
                <w:lang w:val="es-CO" w:eastAsia="es-CO"/>
              </w:rPr>
            </w:pPr>
            <w:r w:rsidRPr="00E33C34">
              <w:rPr>
                <w:rFonts w:ascii="Arial" w:hAnsi="Arial" w:cs="Arial"/>
                <w:b/>
                <w:bCs/>
                <w:snapToGrid/>
                <w:sz w:val="18"/>
                <w:szCs w:val="18"/>
                <w:lang w:val="es-CO" w:eastAsia="es-CO"/>
              </w:rPr>
              <w:t>Denominación</w:t>
            </w:r>
          </w:p>
        </w:tc>
      </w:tr>
      <w:tr w:rsidR="009A6158" w:rsidRPr="00E33C34" w:rsidTr="00CD6F78">
        <w:trPr>
          <w:trHeight w:val="67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  435</w:t>
            </w:r>
          </w:p>
        </w:tc>
        <w:tc>
          <w:tcPr>
            <w:tcW w:w="7478" w:type="dxa"/>
            <w:tcBorders>
              <w:top w:val="nil"/>
              <w:left w:val="nil"/>
              <w:bottom w:val="single" w:sz="4" w:space="0" w:color="auto"/>
              <w:right w:val="single" w:sz="4" w:space="0" w:color="auto"/>
            </w:tcBorders>
            <w:shd w:val="clear" w:color="99CC00" w:fill="auto"/>
            <w:vAlign w:val="center"/>
            <w:hideMark/>
          </w:tcPr>
          <w:p w:rsidR="009A6158" w:rsidRPr="00E33C34" w:rsidRDefault="009A6158" w:rsidP="00CD6F78">
            <w:pPr>
              <w:jc w:val="both"/>
              <w:rPr>
                <w:rFonts w:ascii="Arial" w:hAnsi="Arial" w:cs="Arial"/>
                <w:snapToGrid/>
                <w:sz w:val="18"/>
                <w:szCs w:val="18"/>
                <w:lang w:val="es-CO" w:eastAsia="es-CO"/>
              </w:rPr>
            </w:pPr>
            <w:r w:rsidRPr="00E33C34">
              <w:rPr>
                <w:rFonts w:ascii="Arial" w:hAnsi="Arial" w:cs="Arial"/>
                <w:snapToGrid/>
                <w:sz w:val="18"/>
                <w:szCs w:val="18"/>
                <w:lang w:val="es-CO" w:eastAsia="es-CO"/>
              </w:rPr>
              <w:t>Cuentas por cobrar a cargo de la Nación - Ministerio de Hacienda y Crédito Público-, originadas en los abonos realizados a los créditos hipotecarios de vivienda individual a largo plazo como producto de la reliquidación.</w:t>
            </w:r>
          </w:p>
        </w:tc>
      </w:tr>
      <w:tr w:rsidR="009A6158" w:rsidRPr="00E33C34" w:rsidTr="00CD6F78">
        <w:trPr>
          <w:trHeight w:val="67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9A6158" w:rsidRPr="00E33C34" w:rsidRDefault="009A6158" w:rsidP="00CD6F78">
            <w:pPr>
              <w:jc w:val="center"/>
              <w:rPr>
                <w:rFonts w:ascii="Arial" w:hAnsi="Arial" w:cs="Arial"/>
                <w:snapToGrid/>
                <w:sz w:val="18"/>
                <w:szCs w:val="18"/>
                <w:lang w:val="es-CO" w:eastAsia="es-CO"/>
              </w:rPr>
            </w:pPr>
          </w:p>
          <w:p w:rsidR="009A6158" w:rsidRPr="00E33C34" w:rsidRDefault="009A6158" w:rsidP="00CD6F78">
            <w:pPr>
              <w:jc w:val="center"/>
              <w:rPr>
                <w:rFonts w:ascii="Arial" w:hAnsi="Arial" w:cs="Arial"/>
                <w:snapToGrid/>
                <w:sz w:val="18"/>
                <w:szCs w:val="18"/>
                <w:lang w:val="es-CO" w:eastAsia="es-CO"/>
              </w:rPr>
            </w:pPr>
          </w:p>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  455</w:t>
            </w:r>
          </w:p>
        </w:tc>
        <w:tc>
          <w:tcPr>
            <w:tcW w:w="7478" w:type="dxa"/>
            <w:tcBorders>
              <w:top w:val="nil"/>
              <w:left w:val="nil"/>
              <w:bottom w:val="single" w:sz="4" w:space="0" w:color="auto"/>
              <w:right w:val="single" w:sz="4" w:space="0" w:color="auto"/>
            </w:tcBorders>
            <w:shd w:val="clear" w:color="99CC00" w:fill="auto"/>
            <w:vAlign w:val="center"/>
            <w:hideMark/>
          </w:tcPr>
          <w:p w:rsidR="009A6158" w:rsidRPr="00E33C34" w:rsidRDefault="009A6158" w:rsidP="00CD6F78">
            <w:pPr>
              <w:jc w:val="both"/>
              <w:rPr>
                <w:rFonts w:ascii="Arial" w:hAnsi="Arial" w:cs="Arial"/>
                <w:snapToGrid/>
                <w:sz w:val="18"/>
                <w:szCs w:val="18"/>
                <w:lang w:val="es-CO" w:eastAsia="es-CO"/>
              </w:rPr>
            </w:pPr>
            <w:r w:rsidRPr="00E33C34">
              <w:rPr>
                <w:rFonts w:ascii="Arial" w:hAnsi="Arial" w:cs="Arial"/>
                <w:snapToGrid/>
                <w:sz w:val="18"/>
                <w:szCs w:val="18"/>
                <w:lang w:val="es-CO" w:eastAsia="es-CO"/>
              </w:rPr>
              <w:t>Derechos fiduciarios que posean los establecimientos de crédito sobre patrimonios autónomos cuya finalidad principal sea su enajenación y cuyo activo subyacente sean los bienes inmuebles que originalmente fueron recibidos en dación de pago o adjudicados en remates judiciales, siempre y cuando sean constituidos en sociedades fiduciarias no filiales del establecimiento de crédito y cuente con autorización previa de la SFC (literal f) del artículo 2.1.1.3.4 del Decreto 2555 de 2010).</w:t>
            </w:r>
          </w:p>
        </w:tc>
      </w:tr>
      <w:tr w:rsidR="009A6158" w:rsidRPr="00E33C34" w:rsidTr="00CD6F78">
        <w:trPr>
          <w:trHeight w:val="311"/>
        </w:trPr>
        <w:tc>
          <w:tcPr>
            <w:tcW w:w="821" w:type="dxa"/>
            <w:tcBorders>
              <w:top w:val="nil"/>
              <w:left w:val="single" w:sz="4" w:space="0" w:color="auto"/>
              <w:bottom w:val="single" w:sz="4" w:space="0" w:color="auto"/>
              <w:right w:val="single" w:sz="4" w:space="0" w:color="auto"/>
            </w:tcBorders>
            <w:shd w:val="clear" w:color="99CC00" w:fill="auto"/>
            <w:noWrap/>
            <w:vAlign w:val="center"/>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  475</w:t>
            </w:r>
          </w:p>
        </w:tc>
        <w:tc>
          <w:tcPr>
            <w:tcW w:w="7478" w:type="dxa"/>
            <w:tcBorders>
              <w:top w:val="nil"/>
              <w:left w:val="nil"/>
              <w:bottom w:val="single" w:sz="4" w:space="0" w:color="auto"/>
              <w:right w:val="single" w:sz="4" w:space="0" w:color="auto"/>
            </w:tcBorders>
            <w:shd w:val="clear" w:color="99CC00" w:fill="auto"/>
            <w:vAlign w:val="center"/>
          </w:tcPr>
          <w:p w:rsidR="009A6158" w:rsidRPr="00E33C34" w:rsidRDefault="009A6158" w:rsidP="00CD6F78">
            <w:pPr>
              <w:jc w:val="both"/>
              <w:rPr>
                <w:rFonts w:ascii="Arial" w:hAnsi="Arial" w:cs="Arial"/>
                <w:snapToGrid/>
                <w:sz w:val="18"/>
                <w:szCs w:val="18"/>
                <w:lang w:val="es-CO" w:eastAsia="es-CO"/>
              </w:rPr>
            </w:pPr>
            <w:r w:rsidRPr="00E33C34">
              <w:rPr>
                <w:rFonts w:ascii="Arial" w:hAnsi="Arial" w:cs="Arial"/>
                <w:snapToGrid/>
                <w:sz w:val="18"/>
                <w:szCs w:val="18"/>
                <w:lang w:val="es-CO" w:eastAsia="es-CO"/>
              </w:rPr>
              <w:t xml:space="preserve">Derechos fiduciarios de fideicomisos realizados con títulos emitidos por </w:t>
            </w:r>
            <w:proofErr w:type="spellStart"/>
            <w:r w:rsidRPr="00E33C34">
              <w:rPr>
                <w:rFonts w:ascii="Arial" w:hAnsi="Arial" w:cs="Arial"/>
                <w:snapToGrid/>
                <w:sz w:val="18"/>
                <w:szCs w:val="18"/>
                <w:lang w:val="es-CO" w:eastAsia="es-CO"/>
              </w:rPr>
              <w:t>Fogafin</w:t>
            </w:r>
            <w:proofErr w:type="spellEnd"/>
            <w:r w:rsidRPr="00E33C34">
              <w:rPr>
                <w:rFonts w:ascii="Arial" w:hAnsi="Arial" w:cs="Arial"/>
                <w:snapToGrid/>
                <w:sz w:val="18"/>
                <w:szCs w:val="18"/>
                <w:lang w:val="es-CO" w:eastAsia="es-CO"/>
              </w:rPr>
              <w:t>, de los que trata el literal c) del artículo 2.1.1.3.4 del Decreto 2555 de 2010.</w:t>
            </w:r>
          </w:p>
        </w:tc>
      </w:tr>
      <w:tr w:rsidR="009A6158" w:rsidRPr="00E33C34" w:rsidTr="00CD6F78">
        <w:trPr>
          <w:trHeight w:val="884"/>
        </w:trPr>
        <w:tc>
          <w:tcPr>
            <w:tcW w:w="821" w:type="dxa"/>
            <w:tcBorders>
              <w:top w:val="nil"/>
              <w:left w:val="single" w:sz="4" w:space="0" w:color="auto"/>
              <w:bottom w:val="single" w:sz="4" w:space="0" w:color="auto"/>
              <w:right w:val="single" w:sz="4" w:space="0" w:color="auto"/>
            </w:tcBorders>
            <w:shd w:val="clear" w:color="99CC00" w:fill="auto"/>
            <w:noWrap/>
            <w:vAlign w:val="center"/>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  650</w:t>
            </w:r>
          </w:p>
        </w:tc>
        <w:tc>
          <w:tcPr>
            <w:tcW w:w="7478" w:type="dxa"/>
            <w:tcBorders>
              <w:top w:val="nil"/>
              <w:left w:val="nil"/>
              <w:bottom w:val="single" w:sz="4" w:space="0" w:color="auto"/>
              <w:right w:val="single" w:sz="4" w:space="0" w:color="auto"/>
            </w:tcBorders>
            <w:shd w:val="clear" w:color="99CC00" w:fill="auto"/>
            <w:vAlign w:val="center"/>
          </w:tcPr>
          <w:p w:rsidR="009A6158" w:rsidRPr="00E33C34" w:rsidRDefault="009A6158" w:rsidP="00CD6F78">
            <w:pPr>
              <w:jc w:val="both"/>
              <w:rPr>
                <w:rFonts w:ascii="Arial" w:hAnsi="Arial" w:cs="Arial"/>
                <w:snapToGrid/>
                <w:sz w:val="18"/>
                <w:szCs w:val="18"/>
                <w:lang w:val="es-CO" w:eastAsia="es-CO"/>
              </w:rPr>
            </w:pPr>
            <w:r w:rsidRPr="00E33C34">
              <w:rPr>
                <w:rFonts w:ascii="Arial" w:hAnsi="Arial" w:cs="Arial"/>
                <w:snapToGrid/>
                <w:sz w:val="18"/>
                <w:szCs w:val="18"/>
                <w:lang w:val="es-CO" w:eastAsia="es-CO"/>
              </w:rPr>
              <w:t>Valor de las inversiones de capital, así como de las inversiones en bonos obligatoriamente convertibles en acciones, en bonos subordinados opcionalmente convertibles en acciones o, en general, en instrumentos de deuda subordinada, efectuadas en forma directa o indirecta en entidades financieras del exterior, sin incluir sus valorizaciones e incluyendo su ajuste de cambio, cuando se trate de entidades respecto a las cuales no haya lugar a consolidación.</w:t>
            </w:r>
          </w:p>
        </w:tc>
      </w:tr>
      <w:tr w:rsidR="009A6158" w:rsidRPr="00E33C34" w:rsidTr="00CD6F78">
        <w:trPr>
          <w:trHeight w:val="70"/>
        </w:trPr>
        <w:tc>
          <w:tcPr>
            <w:tcW w:w="821" w:type="dxa"/>
            <w:tcBorders>
              <w:top w:val="nil"/>
              <w:left w:val="single" w:sz="4" w:space="0" w:color="auto"/>
              <w:bottom w:val="single" w:sz="4" w:space="0" w:color="auto"/>
              <w:right w:val="single" w:sz="4" w:space="0" w:color="auto"/>
            </w:tcBorders>
            <w:shd w:val="clear" w:color="99CC00" w:fill="auto"/>
            <w:noWrap/>
            <w:vAlign w:val="center"/>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  660</w:t>
            </w:r>
          </w:p>
        </w:tc>
        <w:tc>
          <w:tcPr>
            <w:tcW w:w="7478" w:type="dxa"/>
            <w:tcBorders>
              <w:top w:val="nil"/>
              <w:left w:val="nil"/>
              <w:bottom w:val="single" w:sz="4" w:space="0" w:color="auto"/>
              <w:right w:val="single" w:sz="4" w:space="0" w:color="auto"/>
            </w:tcBorders>
            <w:shd w:val="clear" w:color="99CC00" w:fill="auto"/>
            <w:vAlign w:val="center"/>
          </w:tcPr>
          <w:p w:rsidR="009A6158" w:rsidRPr="00E33C34" w:rsidRDefault="009A6158" w:rsidP="00CD6F78">
            <w:pPr>
              <w:jc w:val="both"/>
              <w:rPr>
                <w:rFonts w:ascii="Arial" w:hAnsi="Arial" w:cs="Arial"/>
                <w:snapToGrid/>
                <w:sz w:val="18"/>
                <w:szCs w:val="18"/>
                <w:lang w:val="es-CO" w:eastAsia="es-CO"/>
              </w:rPr>
            </w:pPr>
            <w:r w:rsidRPr="00E33C34">
              <w:rPr>
                <w:rFonts w:ascii="Arial" w:hAnsi="Arial" w:cs="Arial"/>
                <w:snapToGrid/>
                <w:sz w:val="18"/>
                <w:szCs w:val="18"/>
                <w:lang w:val="es-CO" w:eastAsia="es-CO"/>
              </w:rPr>
              <w:t>Valor de los activos intangibles registrados a partir del 23 de agosto de 2012.</w:t>
            </w:r>
          </w:p>
        </w:tc>
      </w:tr>
    </w:tbl>
    <w:p w:rsidR="009A6158" w:rsidRPr="007D7653" w:rsidRDefault="009A6158" w:rsidP="009A6158">
      <w:pPr>
        <w:jc w:val="both"/>
        <w:rPr>
          <w:rFonts w:ascii="Arial" w:hAnsi="Arial" w:cs="Arial"/>
          <w:sz w:val="18"/>
          <w:szCs w:val="18"/>
          <w:highlight w:val="yellow"/>
          <w:lang w:val="es-CO"/>
        </w:rPr>
      </w:pPr>
    </w:p>
    <w:p w:rsidR="009A6158" w:rsidRPr="007D7653" w:rsidRDefault="009A6158" w:rsidP="009A6158">
      <w:pPr>
        <w:pBdr>
          <w:left w:val="single" w:sz="4" w:space="4" w:color="auto"/>
        </w:pBdr>
        <w:jc w:val="both"/>
        <w:rPr>
          <w:rFonts w:ascii="Arial" w:hAnsi="Arial" w:cs="Arial"/>
          <w:sz w:val="18"/>
          <w:szCs w:val="18"/>
          <w:highlight w:val="yellow"/>
          <w:lang w:val="es-CO"/>
        </w:rPr>
      </w:pPr>
    </w:p>
    <w:p w:rsidR="009A6158" w:rsidRPr="007D7653" w:rsidRDefault="009A6158" w:rsidP="009A6158">
      <w:pPr>
        <w:pBdr>
          <w:left w:val="single" w:sz="4" w:space="4" w:color="auto"/>
        </w:pBdr>
        <w:jc w:val="both"/>
        <w:rPr>
          <w:rFonts w:ascii="Arial" w:hAnsi="Arial" w:cs="Arial"/>
          <w:sz w:val="18"/>
          <w:szCs w:val="18"/>
          <w:highlight w:val="yellow"/>
          <w:lang w:val="es-CO"/>
        </w:rPr>
      </w:pPr>
    </w:p>
    <w:p w:rsidR="009A6158" w:rsidRPr="007D7653" w:rsidRDefault="009A6158" w:rsidP="009A6158">
      <w:pPr>
        <w:pBdr>
          <w:left w:val="single" w:sz="4" w:space="4" w:color="auto"/>
        </w:pBdr>
        <w:jc w:val="both"/>
        <w:rPr>
          <w:rFonts w:ascii="Arial" w:hAnsi="Arial" w:cs="Arial"/>
          <w:sz w:val="18"/>
          <w:szCs w:val="18"/>
          <w:highlight w:val="yellow"/>
          <w:lang w:val="es-CO"/>
        </w:rPr>
      </w:pPr>
    </w:p>
    <w:p w:rsidR="009A6158" w:rsidRPr="00E33C34" w:rsidRDefault="009A6158" w:rsidP="009A6158">
      <w:pPr>
        <w:pBdr>
          <w:left w:val="single" w:sz="4" w:space="4" w:color="auto"/>
        </w:pBdr>
        <w:jc w:val="both"/>
        <w:rPr>
          <w:rFonts w:ascii="Arial" w:hAnsi="Arial" w:cs="Arial"/>
          <w:sz w:val="18"/>
          <w:szCs w:val="18"/>
          <w:lang w:val="es-CO"/>
        </w:rPr>
      </w:pPr>
    </w:p>
    <w:p w:rsidR="009A6158" w:rsidRPr="00E33C34" w:rsidRDefault="009A6158" w:rsidP="009A6158">
      <w:pPr>
        <w:pBdr>
          <w:left w:val="single" w:sz="4" w:space="4" w:color="auto"/>
        </w:pBdr>
        <w:jc w:val="both"/>
        <w:rPr>
          <w:rFonts w:ascii="Arial" w:hAnsi="Arial" w:cs="Arial"/>
          <w:sz w:val="18"/>
          <w:szCs w:val="18"/>
          <w:lang w:val="es-CO"/>
        </w:rPr>
      </w:pPr>
    </w:p>
    <w:p w:rsidR="009A6158" w:rsidRPr="00E33C34" w:rsidRDefault="009A6158" w:rsidP="009A6158">
      <w:pPr>
        <w:pStyle w:val="Prrafodelista"/>
        <w:numPr>
          <w:ilvl w:val="2"/>
          <w:numId w:val="40"/>
        </w:numPr>
        <w:jc w:val="both"/>
        <w:rPr>
          <w:rFonts w:ascii="Arial" w:hAnsi="Arial" w:cs="Arial"/>
          <w:b/>
          <w:sz w:val="18"/>
          <w:szCs w:val="18"/>
        </w:rPr>
      </w:pPr>
      <w:r w:rsidRPr="00E33C34">
        <w:rPr>
          <w:rFonts w:ascii="Arial" w:hAnsi="Arial" w:cs="Arial"/>
          <w:b/>
          <w:sz w:val="18"/>
          <w:szCs w:val="18"/>
        </w:rPr>
        <w:t>Activos que ponderan por riesgo crediticio al ciento diez por ciento (110%):</w:t>
      </w:r>
    </w:p>
    <w:p w:rsidR="009A6158" w:rsidRPr="00E33C34" w:rsidRDefault="009A6158" w:rsidP="009A6158">
      <w:pPr>
        <w:jc w:val="both"/>
        <w:rPr>
          <w:rFonts w:ascii="Arial" w:hAnsi="Arial" w:cs="Arial"/>
          <w:sz w:val="18"/>
          <w:szCs w:val="18"/>
        </w:rPr>
      </w:pPr>
    </w:p>
    <w:tbl>
      <w:tblPr>
        <w:tblW w:w="9360" w:type="dxa"/>
        <w:tblInd w:w="65" w:type="dxa"/>
        <w:tblCellMar>
          <w:left w:w="70" w:type="dxa"/>
          <w:right w:w="70" w:type="dxa"/>
        </w:tblCellMar>
        <w:tblLook w:val="04A0" w:firstRow="1" w:lastRow="0" w:firstColumn="1" w:lastColumn="0" w:noHBand="0" w:noVBand="1"/>
      </w:tblPr>
      <w:tblGrid>
        <w:gridCol w:w="821"/>
        <w:gridCol w:w="1061"/>
        <w:gridCol w:w="7478"/>
      </w:tblGrid>
      <w:tr w:rsidR="009A6158" w:rsidRPr="00E33C34" w:rsidTr="00CD6F78">
        <w:trPr>
          <w:trHeight w:val="203"/>
        </w:trPr>
        <w:tc>
          <w:tcPr>
            <w:tcW w:w="760"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9A6158" w:rsidRPr="00E33C34" w:rsidRDefault="009A6158" w:rsidP="00CD6F78">
            <w:pPr>
              <w:jc w:val="center"/>
              <w:rPr>
                <w:rFonts w:ascii="Arial" w:hAnsi="Arial" w:cs="Arial"/>
                <w:b/>
                <w:bCs/>
                <w:snapToGrid/>
                <w:sz w:val="18"/>
                <w:szCs w:val="18"/>
                <w:lang w:val="es-CO" w:eastAsia="es-CO"/>
              </w:rPr>
            </w:pPr>
            <w:r w:rsidRPr="00E33C34">
              <w:rPr>
                <w:rFonts w:ascii="Arial" w:hAnsi="Arial" w:cs="Arial"/>
                <w:b/>
                <w:bCs/>
                <w:snapToGrid/>
                <w:sz w:val="18"/>
                <w:szCs w:val="18"/>
                <w:lang w:val="es-CO" w:eastAsia="es-CO"/>
              </w:rPr>
              <w:t>Reporte</w:t>
            </w:r>
          </w:p>
        </w:tc>
        <w:tc>
          <w:tcPr>
            <w:tcW w:w="880" w:type="dxa"/>
            <w:tcBorders>
              <w:top w:val="single" w:sz="4" w:space="0" w:color="auto"/>
              <w:left w:val="nil"/>
              <w:bottom w:val="single" w:sz="4" w:space="0" w:color="auto"/>
              <w:right w:val="single" w:sz="4" w:space="0" w:color="auto"/>
            </w:tcBorders>
            <w:shd w:val="clear" w:color="99CC00" w:fill="D9D9D9"/>
            <w:vAlign w:val="center"/>
            <w:hideMark/>
          </w:tcPr>
          <w:p w:rsidR="009A6158" w:rsidRPr="00E33C34" w:rsidRDefault="009A6158" w:rsidP="00CD6F78">
            <w:pPr>
              <w:jc w:val="center"/>
              <w:rPr>
                <w:rFonts w:ascii="Arial" w:hAnsi="Arial" w:cs="Arial"/>
                <w:b/>
                <w:bCs/>
                <w:snapToGrid/>
                <w:sz w:val="18"/>
                <w:szCs w:val="18"/>
                <w:lang w:val="es-CO" w:eastAsia="es-CO"/>
              </w:rPr>
            </w:pPr>
            <w:r w:rsidRPr="00E33C34">
              <w:rPr>
                <w:rFonts w:ascii="Arial" w:hAnsi="Arial" w:cs="Arial"/>
                <w:b/>
                <w:bCs/>
                <w:snapToGrid/>
                <w:sz w:val="18"/>
                <w:szCs w:val="18"/>
                <w:lang w:val="es-CO" w:eastAsia="es-CO"/>
              </w:rPr>
              <w:t> Cuenta/</w:t>
            </w:r>
          </w:p>
          <w:p w:rsidR="009A6158" w:rsidRPr="00E33C34" w:rsidRDefault="009A6158" w:rsidP="00CD6F78">
            <w:pPr>
              <w:jc w:val="center"/>
              <w:rPr>
                <w:rFonts w:ascii="Arial" w:hAnsi="Arial" w:cs="Arial"/>
                <w:b/>
                <w:bCs/>
                <w:snapToGrid/>
                <w:sz w:val="18"/>
                <w:szCs w:val="18"/>
                <w:lang w:val="es-CO" w:eastAsia="es-CO"/>
              </w:rPr>
            </w:pPr>
            <w:r w:rsidRPr="00E33C34">
              <w:rPr>
                <w:rFonts w:ascii="Arial" w:hAnsi="Arial" w:cs="Arial"/>
                <w:b/>
                <w:bCs/>
                <w:snapToGrid/>
                <w:sz w:val="18"/>
                <w:szCs w:val="18"/>
                <w:lang w:val="es-CO" w:eastAsia="es-CO"/>
              </w:rPr>
              <w:t>Subcuenta</w:t>
            </w:r>
          </w:p>
        </w:tc>
        <w:tc>
          <w:tcPr>
            <w:tcW w:w="7720" w:type="dxa"/>
            <w:tcBorders>
              <w:top w:val="single" w:sz="4" w:space="0" w:color="auto"/>
              <w:left w:val="nil"/>
              <w:bottom w:val="single" w:sz="4" w:space="0" w:color="auto"/>
              <w:right w:val="single" w:sz="4" w:space="0" w:color="auto"/>
            </w:tcBorders>
            <w:shd w:val="clear" w:color="99CC00" w:fill="D9D9D9"/>
            <w:vAlign w:val="center"/>
            <w:hideMark/>
          </w:tcPr>
          <w:p w:rsidR="009A6158" w:rsidRPr="00E33C34" w:rsidRDefault="009A6158" w:rsidP="00CD6F78">
            <w:pPr>
              <w:jc w:val="center"/>
              <w:rPr>
                <w:rFonts w:ascii="Arial" w:hAnsi="Arial" w:cs="Arial"/>
                <w:b/>
                <w:bCs/>
                <w:snapToGrid/>
                <w:sz w:val="18"/>
                <w:szCs w:val="18"/>
                <w:lang w:val="es-CO" w:eastAsia="es-CO"/>
              </w:rPr>
            </w:pPr>
            <w:r w:rsidRPr="00E33C34">
              <w:rPr>
                <w:rFonts w:ascii="Arial" w:hAnsi="Arial" w:cs="Arial"/>
                <w:b/>
                <w:bCs/>
                <w:snapToGrid/>
                <w:sz w:val="18"/>
                <w:szCs w:val="18"/>
                <w:lang w:val="es-CO" w:eastAsia="es-CO"/>
              </w:rPr>
              <w:t>Denominación</w:t>
            </w:r>
          </w:p>
        </w:tc>
      </w:tr>
      <w:tr w:rsidR="009A6158" w:rsidRPr="00E33C34" w:rsidTr="00CD6F78">
        <w:trPr>
          <w:trHeight w:val="67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  487</w:t>
            </w:r>
          </w:p>
        </w:tc>
        <w:tc>
          <w:tcPr>
            <w:tcW w:w="7720" w:type="dxa"/>
            <w:tcBorders>
              <w:top w:val="nil"/>
              <w:left w:val="nil"/>
              <w:bottom w:val="single" w:sz="4" w:space="0" w:color="auto"/>
              <w:right w:val="single" w:sz="4" w:space="0" w:color="auto"/>
            </w:tcBorders>
            <w:shd w:val="clear" w:color="99CC00" w:fill="auto"/>
            <w:vAlign w:val="center"/>
            <w:hideMark/>
          </w:tcPr>
          <w:p w:rsidR="009A6158" w:rsidRPr="00E33C34" w:rsidRDefault="009A6158" w:rsidP="00CD6F78">
            <w:pPr>
              <w:jc w:val="both"/>
              <w:rPr>
                <w:rFonts w:ascii="Arial" w:hAnsi="Arial" w:cs="Arial"/>
                <w:snapToGrid/>
                <w:sz w:val="18"/>
                <w:szCs w:val="18"/>
                <w:lang w:val="es-CO" w:eastAsia="es-CO"/>
              </w:rPr>
            </w:pPr>
            <w:r w:rsidRPr="00E33C34">
              <w:rPr>
                <w:rFonts w:ascii="Arial" w:hAnsi="Arial" w:cs="Arial"/>
                <w:snapToGrid/>
                <w:sz w:val="18"/>
                <w:szCs w:val="18"/>
                <w:lang w:val="es-CO" w:eastAsia="es-CO"/>
              </w:rPr>
              <w:t>Créditos de largo plazo otorgados a entidades territoriales cuya calificación de riesgo efectuada por las sociedades calificadoras autorizadas por la SFC sea "BBB", de acuerdo con lo establecido en el Capítulo 3 del Título 1 del Libro 1 de la Parte 2 del Decreto 2555 de 2010, netos de provisión.</w:t>
            </w:r>
          </w:p>
        </w:tc>
      </w:tr>
    </w:tbl>
    <w:p w:rsidR="009A6158" w:rsidRPr="00E33C34" w:rsidRDefault="009A6158" w:rsidP="009A6158">
      <w:pPr>
        <w:jc w:val="both"/>
        <w:rPr>
          <w:rFonts w:ascii="Arial" w:hAnsi="Arial" w:cs="Arial"/>
          <w:sz w:val="18"/>
          <w:szCs w:val="18"/>
        </w:rPr>
      </w:pPr>
    </w:p>
    <w:p w:rsidR="009A6158" w:rsidRPr="00E33C34" w:rsidRDefault="009A6158" w:rsidP="009A6158">
      <w:pPr>
        <w:pStyle w:val="Prrafodelista"/>
        <w:numPr>
          <w:ilvl w:val="2"/>
          <w:numId w:val="40"/>
        </w:numPr>
        <w:ind w:left="851" w:hanging="851"/>
        <w:jc w:val="both"/>
        <w:rPr>
          <w:rFonts w:ascii="Arial" w:hAnsi="Arial" w:cs="Arial"/>
          <w:b/>
          <w:sz w:val="18"/>
          <w:szCs w:val="18"/>
        </w:rPr>
      </w:pPr>
      <w:r w:rsidRPr="00E33C34">
        <w:rPr>
          <w:rFonts w:ascii="Arial" w:hAnsi="Arial" w:cs="Arial"/>
          <w:b/>
          <w:sz w:val="18"/>
          <w:szCs w:val="18"/>
        </w:rPr>
        <w:t>Activos que ponderan por riesgo crediticio al ciento veinte por ciento (120%):</w:t>
      </w:r>
    </w:p>
    <w:p w:rsidR="009A6158" w:rsidRPr="00E33C34" w:rsidRDefault="009A6158" w:rsidP="009A6158">
      <w:pPr>
        <w:pStyle w:val="Prrafodelista"/>
        <w:ind w:left="1080"/>
        <w:jc w:val="both"/>
        <w:rPr>
          <w:rFonts w:ascii="Arial" w:hAnsi="Arial" w:cs="Arial"/>
          <w:sz w:val="18"/>
          <w:szCs w:val="18"/>
        </w:rPr>
      </w:pPr>
    </w:p>
    <w:tbl>
      <w:tblPr>
        <w:tblW w:w="9360" w:type="dxa"/>
        <w:tblInd w:w="65" w:type="dxa"/>
        <w:tblCellMar>
          <w:left w:w="70" w:type="dxa"/>
          <w:right w:w="70" w:type="dxa"/>
        </w:tblCellMar>
        <w:tblLook w:val="04A0" w:firstRow="1" w:lastRow="0" w:firstColumn="1" w:lastColumn="0" w:noHBand="0" w:noVBand="1"/>
      </w:tblPr>
      <w:tblGrid>
        <w:gridCol w:w="821"/>
        <w:gridCol w:w="1061"/>
        <w:gridCol w:w="7478"/>
      </w:tblGrid>
      <w:tr w:rsidR="009A6158" w:rsidRPr="00E33C34" w:rsidTr="00CD6F78">
        <w:trPr>
          <w:trHeight w:val="372"/>
        </w:trPr>
        <w:tc>
          <w:tcPr>
            <w:tcW w:w="821"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9A6158" w:rsidRPr="00E33C34" w:rsidRDefault="009A6158" w:rsidP="00CD6F78">
            <w:pPr>
              <w:jc w:val="center"/>
              <w:rPr>
                <w:rFonts w:ascii="Arial" w:hAnsi="Arial" w:cs="Arial"/>
                <w:b/>
                <w:bCs/>
                <w:snapToGrid/>
                <w:sz w:val="18"/>
                <w:szCs w:val="18"/>
                <w:lang w:val="es-CO" w:eastAsia="es-CO"/>
              </w:rPr>
            </w:pPr>
            <w:r w:rsidRPr="00E33C34">
              <w:rPr>
                <w:rFonts w:ascii="Arial" w:hAnsi="Arial" w:cs="Arial"/>
                <w:b/>
                <w:bCs/>
                <w:snapToGrid/>
                <w:sz w:val="18"/>
                <w:szCs w:val="18"/>
                <w:lang w:val="es-CO" w:eastAsia="es-CO"/>
              </w:rPr>
              <w:t>Reporte</w:t>
            </w:r>
          </w:p>
        </w:tc>
        <w:tc>
          <w:tcPr>
            <w:tcW w:w="1061" w:type="dxa"/>
            <w:tcBorders>
              <w:top w:val="single" w:sz="4" w:space="0" w:color="auto"/>
              <w:left w:val="nil"/>
              <w:bottom w:val="single" w:sz="4" w:space="0" w:color="auto"/>
              <w:right w:val="single" w:sz="4" w:space="0" w:color="auto"/>
            </w:tcBorders>
            <w:shd w:val="clear" w:color="99CC00" w:fill="D9D9D9"/>
            <w:vAlign w:val="center"/>
            <w:hideMark/>
          </w:tcPr>
          <w:p w:rsidR="009A6158" w:rsidRPr="00E33C34" w:rsidRDefault="009A6158" w:rsidP="00CD6F78">
            <w:pPr>
              <w:jc w:val="center"/>
              <w:rPr>
                <w:rFonts w:ascii="Arial" w:hAnsi="Arial" w:cs="Arial"/>
                <w:b/>
                <w:bCs/>
                <w:snapToGrid/>
                <w:sz w:val="18"/>
                <w:szCs w:val="18"/>
                <w:lang w:val="es-CO" w:eastAsia="es-CO"/>
              </w:rPr>
            </w:pPr>
            <w:r w:rsidRPr="00E33C34">
              <w:rPr>
                <w:rFonts w:ascii="Arial" w:hAnsi="Arial" w:cs="Arial"/>
                <w:b/>
                <w:bCs/>
                <w:snapToGrid/>
                <w:sz w:val="18"/>
                <w:szCs w:val="18"/>
                <w:lang w:val="es-CO" w:eastAsia="es-CO"/>
              </w:rPr>
              <w:t>Cuenta/</w:t>
            </w:r>
            <w:r w:rsidRPr="00E33C34">
              <w:rPr>
                <w:rFonts w:ascii="Arial" w:hAnsi="Arial" w:cs="Arial"/>
                <w:b/>
                <w:bCs/>
                <w:snapToGrid/>
                <w:sz w:val="18"/>
                <w:szCs w:val="18"/>
                <w:lang w:val="es-CO" w:eastAsia="es-CO"/>
              </w:rPr>
              <w:br/>
              <w:t>Subcuenta</w:t>
            </w:r>
          </w:p>
        </w:tc>
        <w:tc>
          <w:tcPr>
            <w:tcW w:w="7478" w:type="dxa"/>
            <w:tcBorders>
              <w:top w:val="single" w:sz="4" w:space="0" w:color="auto"/>
              <w:left w:val="nil"/>
              <w:bottom w:val="single" w:sz="4" w:space="0" w:color="auto"/>
              <w:right w:val="single" w:sz="4" w:space="0" w:color="auto"/>
            </w:tcBorders>
            <w:shd w:val="clear" w:color="99CC00" w:fill="D9D9D9"/>
            <w:vAlign w:val="center"/>
            <w:hideMark/>
          </w:tcPr>
          <w:p w:rsidR="009A6158" w:rsidRPr="00E33C34" w:rsidRDefault="009A6158" w:rsidP="00CD6F78">
            <w:pPr>
              <w:jc w:val="center"/>
              <w:rPr>
                <w:rFonts w:ascii="Arial" w:hAnsi="Arial" w:cs="Arial"/>
                <w:b/>
                <w:bCs/>
                <w:snapToGrid/>
                <w:sz w:val="18"/>
                <w:szCs w:val="18"/>
                <w:lang w:val="es-CO" w:eastAsia="es-CO"/>
              </w:rPr>
            </w:pPr>
            <w:r w:rsidRPr="00E33C34">
              <w:rPr>
                <w:rFonts w:ascii="Arial" w:hAnsi="Arial" w:cs="Arial"/>
                <w:b/>
                <w:bCs/>
                <w:snapToGrid/>
                <w:sz w:val="18"/>
                <w:szCs w:val="18"/>
                <w:lang w:val="es-CO" w:eastAsia="es-CO"/>
              </w:rPr>
              <w:t>Denominación</w:t>
            </w:r>
          </w:p>
        </w:tc>
      </w:tr>
      <w:tr w:rsidR="009A6158" w:rsidRPr="00E33C34" w:rsidTr="00CD6F78">
        <w:trPr>
          <w:trHeight w:val="277"/>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  483</w:t>
            </w:r>
          </w:p>
        </w:tc>
        <w:tc>
          <w:tcPr>
            <w:tcW w:w="7478" w:type="dxa"/>
            <w:tcBorders>
              <w:top w:val="nil"/>
              <w:left w:val="nil"/>
              <w:bottom w:val="single" w:sz="4" w:space="0" w:color="auto"/>
              <w:right w:val="single" w:sz="4" w:space="0" w:color="auto"/>
            </w:tcBorders>
            <w:shd w:val="clear" w:color="99CC00" w:fill="auto"/>
            <w:vAlign w:val="center"/>
            <w:hideMark/>
          </w:tcPr>
          <w:p w:rsidR="009A6158" w:rsidRPr="00E33C34" w:rsidRDefault="009A6158" w:rsidP="00CD6F78">
            <w:pPr>
              <w:jc w:val="both"/>
              <w:rPr>
                <w:rFonts w:ascii="Arial" w:hAnsi="Arial" w:cs="Arial"/>
                <w:snapToGrid/>
                <w:sz w:val="18"/>
                <w:szCs w:val="18"/>
                <w:lang w:val="es-CO" w:eastAsia="es-CO"/>
              </w:rPr>
            </w:pPr>
            <w:r w:rsidRPr="00E33C34">
              <w:rPr>
                <w:rFonts w:ascii="Arial" w:hAnsi="Arial" w:cs="Arial"/>
                <w:snapToGrid/>
                <w:sz w:val="18"/>
                <w:szCs w:val="18"/>
                <w:lang w:val="es-CO" w:eastAsia="es-CO"/>
              </w:rPr>
              <w:t>Créditos de corto plazo otorgados a entidades territoriales cuya calificación de riesgo efectuada por las sociedades calificadoras autorizadas por la SFC sea "cuatro (4)", de acuerdo con lo establecido en el Capítulo 3 del Título 1 del Libro 1 de la Parte 2 del Decreto 2555 de 2010, netos de provisión.</w:t>
            </w:r>
          </w:p>
        </w:tc>
      </w:tr>
      <w:tr w:rsidR="009A6158" w:rsidRPr="00E33C34" w:rsidTr="00CD6F78">
        <w:trPr>
          <w:trHeight w:val="28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  488</w:t>
            </w:r>
          </w:p>
        </w:tc>
        <w:tc>
          <w:tcPr>
            <w:tcW w:w="7478" w:type="dxa"/>
            <w:tcBorders>
              <w:top w:val="nil"/>
              <w:left w:val="nil"/>
              <w:bottom w:val="single" w:sz="4" w:space="0" w:color="auto"/>
              <w:right w:val="single" w:sz="4" w:space="0" w:color="auto"/>
            </w:tcBorders>
            <w:shd w:val="clear" w:color="99CC00" w:fill="auto"/>
            <w:vAlign w:val="center"/>
            <w:hideMark/>
          </w:tcPr>
          <w:p w:rsidR="009A6158" w:rsidRPr="00E33C34" w:rsidRDefault="009A6158" w:rsidP="00CD6F78">
            <w:pPr>
              <w:jc w:val="both"/>
              <w:rPr>
                <w:rFonts w:ascii="Arial" w:hAnsi="Arial" w:cs="Arial"/>
                <w:snapToGrid/>
                <w:sz w:val="18"/>
                <w:szCs w:val="18"/>
                <w:lang w:val="es-CO" w:eastAsia="es-CO"/>
              </w:rPr>
            </w:pPr>
            <w:r w:rsidRPr="00E33C34">
              <w:rPr>
                <w:rFonts w:ascii="Arial" w:hAnsi="Arial" w:cs="Arial"/>
                <w:snapToGrid/>
                <w:sz w:val="18"/>
                <w:szCs w:val="18"/>
                <w:lang w:val="es-CO" w:eastAsia="es-CO"/>
              </w:rPr>
              <w:t>Créditos de largo plazo otorgados a entidades territoriales cuya calificación de riesgo efectuada por las sociedades calificadoras autorizadas por la SFC sea "BB", de acuerdo con lo establecido en el Capítulo 3 del Título 1 del Libro 1 de la Parte 2 del Decreto 2555 de 2010, netos de provisión.</w:t>
            </w:r>
          </w:p>
        </w:tc>
      </w:tr>
    </w:tbl>
    <w:p w:rsidR="009A6158" w:rsidRPr="00E33C34" w:rsidRDefault="009A6158" w:rsidP="009A6158">
      <w:pPr>
        <w:jc w:val="both"/>
        <w:rPr>
          <w:rFonts w:ascii="Arial" w:hAnsi="Arial" w:cs="Arial"/>
          <w:sz w:val="18"/>
          <w:szCs w:val="18"/>
          <w:lang w:val="es-CO"/>
        </w:rPr>
      </w:pPr>
    </w:p>
    <w:p w:rsidR="009A6158" w:rsidRPr="00E33C34" w:rsidRDefault="009A6158" w:rsidP="009A6158">
      <w:pPr>
        <w:pStyle w:val="Prrafodelista"/>
        <w:numPr>
          <w:ilvl w:val="2"/>
          <w:numId w:val="40"/>
        </w:numPr>
        <w:ind w:left="851" w:hanging="851"/>
        <w:jc w:val="both"/>
        <w:rPr>
          <w:rFonts w:ascii="Arial" w:hAnsi="Arial" w:cs="Arial"/>
          <w:b/>
          <w:sz w:val="18"/>
          <w:szCs w:val="18"/>
        </w:rPr>
      </w:pPr>
      <w:r w:rsidRPr="00E33C34">
        <w:rPr>
          <w:rFonts w:ascii="Arial" w:hAnsi="Arial" w:cs="Arial"/>
          <w:b/>
          <w:sz w:val="18"/>
          <w:szCs w:val="18"/>
          <w:lang w:val="es-CO"/>
        </w:rPr>
        <w:t>Activos</w:t>
      </w:r>
      <w:r w:rsidRPr="00E33C34">
        <w:rPr>
          <w:rFonts w:ascii="Arial" w:hAnsi="Arial" w:cs="Arial"/>
          <w:b/>
          <w:sz w:val="18"/>
          <w:szCs w:val="18"/>
        </w:rPr>
        <w:t xml:space="preserve"> que ponderan por riesgo crediticio al ciento treinta por ciento (130%):</w:t>
      </w:r>
    </w:p>
    <w:p w:rsidR="009A6158" w:rsidRPr="00E33C34" w:rsidRDefault="009A6158" w:rsidP="009A6158">
      <w:pPr>
        <w:jc w:val="both"/>
        <w:rPr>
          <w:rFonts w:ascii="Arial" w:hAnsi="Arial" w:cs="Arial"/>
          <w:sz w:val="18"/>
          <w:szCs w:val="18"/>
        </w:rPr>
      </w:pPr>
    </w:p>
    <w:tbl>
      <w:tblPr>
        <w:tblW w:w="9360" w:type="dxa"/>
        <w:tblInd w:w="65" w:type="dxa"/>
        <w:tblCellMar>
          <w:left w:w="70" w:type="dxa"/>
          <w:right w:w="70" w:type="dxa"/>
        </w:tblCellMar>
        <w:tblLook w:val="04A0" w:firstRow="1" w:lastRow="0" w:firstColumn="1" w:lastColumn="0" w:noHBand="0" w:noVBand="1"/>
      </w:tblPr>
      <w:tblGrid>
        <w:gridCol w:w="821"/>
        <w:gridCol w:w="1061"/>
        <w:gridCol w:w="7478"/>
      </w:tblGrid>
      <w:tr w:rsidR="009A6158" w:rsidRPr="00E33C34" w:rsidTr="00CD6F78">
        <w:trPr>
          <w:trHeight w:val="262"/>
          <w:tblHeader/>
        </w:trPr>
        <w:tc>
          <w:tcPr>
            <w:tcW w:w="760"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9A6158" w:rsidRPr="00E33C34" w:rsidRDefault="009A6158" w:rsidP="00CD6F78">
            <w:pPr>
              <w:jc w:val="center"/>
              <w:rPr>
                <w:rFonts w:ascii="Arial" w:hAnsi="Arial" w:cs="Arial"/>
                <w:b/>
                <w:bCs/>
                <w:snapToGrid/>
                <w:sz w:val="18"/>
                <w:szCs w:val="18"/>
                <w:lang w:val="es-CO" w:eastAsia="es-CO"/>
              </w:rPr>
            </w:pPr>
            <w:r w:rsidRPr="00E33C34">
              <w:rPr>
                <w:rFonts w:ascii="Arial" w:hAnsi="Arial" w:cs="Arial"/>
                <w:b/>
                <w:bCs/>
                <w:snapToGrid/>
                <w:sz w:val="18"/>
                <w:szCs w:val="18"/>
                <w:lang w:val="es-CO" w:eastAsia="es-CO"/>
              </w:rPr>
              <w:t>Reporte</w:t>
            </w:r>
          </w:p>
        </w:tc>
        <w:tc>
          <w:tcPr>
            <w:tcW w:w="880" w:type="dxa"/>
            <w:tcBorders>
              <w:top w:val="single" w:sz="4" w:space="0" w:color="auto"/>
              <w:left w:val="nil"/>
              <w:bottom w:val="single" w:sz="4" w:space="0" w:color="auto"/>
              <w:right w:val="single" w:sz="4" w:space="0" w:color="auto"/>
            </w:tcBorders>
            <w:shd w:val="clear" w:color="99CC00" w:fill="D9D9D9"/>
            <w:vAlign w:val="center"/>
            <w:hideMark/>
          </w:tcPr>
          <w:p w:rsidR="009A6158" w:rsidRPr="00E33C34" w:rsidRDefault="009A6158" w:rsidP="00CD6F78">
            <w:pPr>
              <w:jc w:val="center"/>
              <w:rPr>
                <w:rFonts w:ascii="Arial" w:hAnsi="Arial" w:cs="Arial"/>
                <w:b/>
                <w:bCs/>
                <w:snapToGrid/>
                <w:sz w:val="18"/>
                <w:szCs w:val="18"/>
                <w:lang w:val="es-CO" w:eastAsia="es-CO"/>
              </w:rPr>
            </w:pPr>
            <w:r w:rsidRPr="00E33C34">
              <w:rPr>
                <w:rFonts w:ascii="Arial" w:hAnsi="Arial" w:cs="Arial"/>
                <w:b/>
                <w:bCs/>
                <w:snapToGrid/>
                <w:sz w:val="18"/>
                <w:szCs w:val="18"/>
                <w:lang w:val="es-CO" w:eastAsia="es-CO"/>
              </w:rPr>
              <w:t>Cuenta/</w:t>
            </w:r>
            <w:r w:rsidRPr="00E33C34">
              <w:rPr>
                <w:rFonts w:ascii="Arial" w:hAnsi="Arial" w:cs="Arial"/>
                <w:b/>
                <w:bCs/>
                <w:snapToGrid/>
                <w:sz w:val="18"/>
                <w:szCs w:val="18"/>
                <w:lang w:val="es-CO" w:eastAsia="es-CO"/>
              </w:rPr>
              <w:br/>
              <w:t>Subcuenta</w:t>
            </w:r>
          </w:p>
        </w:tc>
        <w:tc>
          <w:tcPr>
            <w:tcW w:w="7720" w:type="dxa"/>
            <w:tcBorders>
              <w:top w:val="single" w:sz="4" w:space="0" w:color="auto"/>
              <w:left w:val="nil"/>
              <w:bottom w:val="single" w:sz="4" w:space="0" w:color="auto"/>
              <w:right w:val="single" w:sz="4" w:space="0" w:color="auto"/>
            </w:tcBorders>
            <w:shd w:val="clear" w:color="99CC00" w:fill="D9D9D9"/>
            <w:vAlign w:val="center"/>
            <w:hideMark/>
          </w:tcPr>
          <w:p w:rsidR="009A6158" w:rsidRPr="00E33C34" w:rsidRDefault="009A6158" w:rsidP="00CD6F78">
            <w:pPr>
              <w:jc w:val="center"/>
              <w:rPr>
                <w:rFonts w:ascii="Arial" w:hAnsi="Arial" w:cs="Arial"/>
                <w:b/>
                <w:bCs/>
                <w:snapToGrid/>
                <w:sz w:val="18"/>
                <w:szCs w:val="18"/>
                <w:lang w:val="es-CO" w:eastAsia="es-CO"/>
              </w:rPr>
            </w:pPr>
            <w:r w:rsidRPr="00E33C34">
              <w:rPr>
                <w:rFonts w:ascii="Arial" w:hAnsi="Arial" w:cs="Arial"/>
                <w:b/>
                <w:bCs/>
                <w:snapToGrid/>
                <w:sz w:val="18"/>
                <w:szCs w:val="18"/>
                <w:lang w:val="es-CO" w:eastAsia="es-CO"/>
              </w:rPr>
              <w:t>Denominación</w:t>
            </w:r>
          </w:p>
        </w:tc>
      </w:tr>
      <w:tr w:rsidR="009A6158" w:rsidRPr="00E33C34" w:rsidTr="00CD6F78">
        <w:trPr>
          <w:trHeight w:val="1119"/>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  346</w:t>
            </w:r>
          </w:p>
        </w:tc>
        <w:tc>
          <w:tcPr>
            <w:tcW w:w="7720" w:type="dxa"/>
            <w:tcBorders>
              <w:top w:val="nil"/>
              <w:left w:val="nil"/>
              <w:bottom w:val="single" w:sz="4" w:space="0" w:color="auto"/>
              <w:right w:val="single" w:sz="4" w:space="0" w:color="auto"/>
            </w:tcBorders>
            <w:shd w:val="clear" w:color="99CC00" w:fill="auto"/>
            <w:vAlign w:val="center"/>
            <w:hideMark/>
          </w:tcPr>
          <w:p w:rsidR="009A6158" w:rsidRPr="00E33C34" w:rsidRDefault="009A6158" w:rsidP="00CD6F78">
            <w:pPr>
              <w:jc w:val="both"/>
              <w:rPr>
                <w:rFonts w:ascii="Arial" w:hAnsi="Arial" w:cs="Arial"/>
                <w:snapToGrid/>
                <w:sz w:val="18"/>
                <w:szCs w:val="18"/>
                <w:lang w:val="es-CO" w:eastAsia="es-CO"/>
              </w:rPr>
            </w:pPr>
            <w:r w:rsidRPr="00E33C34">
              <w:rPr>
                <w:rFonts w:ascii="Arial" w:hAnsi="Arial" w:cs="Arial"/>
                <w:snapToGrid/>
                <w:sz w:val="18"/>
                <w:szCs w:val="18"/>
                <w:lang w:val="es-CO" w:eastAsia="es-CO"/>
              </w:rPr>
              <w:t>Créditos otorgados a municipios que no sean capitales de departamento; departamentos, distritos y capitales de departamento que sobrepasen los niveles de crecimiento del saldo de la deuda del IPC proyectado por el Banco de la República (entidades descritas en el artículo 5, Ley 358/97), así como a entidades que por aplicación de la Ley 358 de 1997 se encuentren en período de transición (entidades descritas en el artículo 15 de la Ley 358/97). Se exceptúan los créditos garantizados totalmente por la Nación con garantía admisible y la porción de los créditos garantizados parcialmente por la Nación con garantía admisible.</w:t>
            </w:r>
          </w:p>
        </w:tc>
      </w:tr>
      <w:tr w:rsidR="009A6158" w:rsidRPr="00E33C34" w:rsidTr="00CD6F78">
        <w:trPr>
          <w:trHeight w:val="274"/>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  347</w:t>
            </w:r>
          </w:p>
        </w:tc>
        <w:tc>
          <w:tcPr>
            <w:tcW w:w="7720" w:type="dxa"/>
            <w:tcBorders>
              <w:top w:val="nil"/>
              <w:left w:val="nil"/>
              <w:bottom w:val="single" w:sz="4" w:space="0" w:color="auto"/>
              <w:right w:val="single" w:sz="4" w:space="0" w:color="auto"/>
            </w:tcBorders>
            <w:shd w:val="clear" w:color="99CC00" w:fill="auto"/>
            <w:vAlign w:val="center"/>
            <w:hideMark/>
          </w:tcPr>
          <w:p w:rsidR="009A6158" w:rsidRPr="00E33C34" w:rsidRDefault="009A6158" w:rsidP="00CD6F78">
            <w:pPr>
              <w:jc w:val="both"/>
              <w:rPr>
                <w:rFonts w:ascii="Arial" w:hAnsi="Arial" w:cs="Arial"/>
                <w:snapToGrid/>
                <w:sz w:val="18"/>
                <w:szCs w:val="18"/>
                <w:lang w:val="es-CO" w:eastAsia="es-CO"/>
              </w:rPr>
            </w:pPr>
            <w:r w:rsidRPr="00E33C34">
              <w:rPr>
                <w:rFonts w:ascii="Arial" w:hAnsi="Arial" w:cs="Arial"/>
                <w:snapToGrid/>
                <w:sz w:val="18"/>
                <w:szCs w:val="18"/>
                <w:lang w:val="es-CO" w:eastAsia="es-CO"/>
              </w:rPr>
              <w:t>Provisión de créditos otorgados a municipios que no sean capitales de departamento; departamentos, distritos y capitales de departamento que sobrepasen los niveles de crecimiento del saldo de la deuda del IPC proyectado por el Banco de la República (entidades descritas en el artículo 5, Ley 358/97), así como la provisión de los créditos otorgados a entidades que por aplicación de la Ley 358 de 1997 se encuentren en periodo de transición (entidades descritas en el artículo 15, de la Ley 358/97). Se exceptúa la provisión de los créditos garantizados totalmente por la Nación con garantía admisible y la porción de la provisión de los créditos garantizados parcialmente por la Nación con garantía admisible.</w:t>
            </w:r>
          </w:p>
        </w:tc>
      </w:tr>
      <w:tr w:rsidR="009A6158" w:rsidRPr="00E33C34" w:rsidTr="00CD6F78">
        <w:trPr>
          <w:trHeight w:val="385"/>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9A6158" w:rsidRPr="00E33C34" w:rsidRDefault="009A6158" w:rsidP="00CD6F78">
            <w:pPr>
              <w:jc w:val="center"/>
              <w:rPr>
                <w:rFonts w:ascii="Arial" w:hAnsi="Arial" w:cs="Arial"/>
                <w:snapToGrid/>
                <w:sz w:val="18"/>
                <w:szCs w:val="18"/>
                <w:lang w:val="es-CO" w:eastAsia="es-CO"/>
              </w:rPr>
            </w:pPr>
            <w:r w:rsidRPr="00E33C34">
              <w:rPr>
                <w:rFonts w:ascii="Arial" w:hAnsi="Arial" w:cs="Arial"/>
                <w:snapToGrid/>
                <w:sz w:val="18"/>
                <w:szCs w:val="18"/>
                <w:lang w:val="es-CO" w:eastAsia="es-CO"/>
              </w:rPr>
              <w:t>+  484</w:t>
            </w:r>
          </w:p>
        </w:tc>
        <w:tc>
          <w:tcPr>
            <w:tcW w:w="7720" w:type="dxa"/>
            <w:tcBorders>
              <w:top w:val="nil"/>
              <w:left w:val="nil"/>
              <w:bottom w:val="single" w:sz="4" w:space="0" w:color="auto"/>
              <w:right w:val="single" w:sz="4" w:space="0" w:color="auto"/>
            </w:tcBorders>
            <w:shd w:val="clear" w:color="99CC00" w:fill="auto"/>
            <w:vAlign w:val="center"/>
            <w:hideMark/>
          </w:tcPr>
          <w:p w:rsidR="009A6158" w:rsidRPr="00E33C34" w:rsidRDefault="009A6158" w:rsidP="00CD6F78">
            <w:pPr>
              <w:jc w:val="both"/>
              <w:rPr>
                <w:rFonts w:ascii="Arial" w:hAnsi="Arial" w:cs="Arial"/>
                <w:snapToGrid/>
                <w:sz w:val="18"/>
                <w:szCs w:val="18"/>
                <w:lang w:val="es-CO" w:eastAsia="es-CO"/>
              </w:rPr>
            </w:pPr>
            <w:r w:rsidRPr="00E33C34">
              <w:rPr>
                <w:rFonts w:ascii="Arial" w:hAnsi="Arial" w:cs="Arial"/>
                <w:snapToGrid/>
                <w:sz w:val="18"/>
                <w:szCs w:val="18"/>
                <w:lang w:val="es-CO" w:eastAsia="es-CO"/>
              </w:rPr>
              <w:t>Créditos de corto plazo otorgados a entidades territoriales cuya calificación de riesgo efectuada por las sociedades calificadoras autorizadas por la SFC sea "menor a cuatro (4)", de acuerdo con lo establecido en el Capítulo 3 del Título 1 del Libro 1 de la Parte 2 del Decreto 2555 de 2010, netos de provisión.</w:t>
            </w:r>
          </w:p>
        </w:tc>
      </w:tr>
    </w:tbl>
    <w:p w:rsidR="009A6158" w:rsidRDefault="009A6158">
      <w:pPr>
        <w:sectPr w:rsidR="009A6158" w:rsidSect="009A6158">
          <w:headerReference w:type="default" r:id="rId34"/>
          <w:footerReference w:type="default" r:id="rId35"/>
          <w:pgSz w:w="12240" w:h="18720" w:code="14"/>
          <w:pgMar w:top="1148" w:right="1134" w:bottom="1701" w:left="1701" w:header="567" w:footer="567" w:gutter="0"/>
          <w:paperSrc w:first="15"/>
          <w:pgNumType w:start="78"/>
          <w:cols w:space="720"/>
          <w:noEndnote/>
          <w:docGrid w:linePitch="272"/>
        </w:sectPr>
      </w:pPr>
    </w:p>
    <w:tbl>
      <w:tblPr>
        <w:tblW w:w="9360" w:type="dxa"/>
        <w:tblInd w:w="65" w:type="dxa"/>
        <w:tblCellMar>
          <w:left w:w="70" w:type="dxa"/>
          <w:right w:w="70" w:type="dxa"/>
        </w:tblCellMar>
        <w:tblLook w:val="04A0" w:firstRow="1" w:lastRow="0" w:firstColumn="1" w:lastColumn="0" w:noHBand="0" w:noVBand="1"/>
      </w:tblPr>
      <w:tblGrid>
        <w:gridCol w:w="821"/>
        <w:gridCol w:w="1061"/>
        <w:gridCol w:w="7478"/>
      </w:tblGrid>
      <w:tr w:rsidR="009A6158" w:rsidRPr="00700E68" w:rsidTr="00CD6F78">
        <w:trPr>
          <w:trHeight w:val="262"/>
          <w:tblHeader/>
        </w:trPr>
        <w:tc>
          <w:tcPr>
            <w:tcW w:w="821"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9A6158" w:rsidRPr="00700E68" w:rsidRDefault="009A6158" w:rsidP="00CD6F78">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lastRenderedPageBreak/>
              <w:t>Reporte</w:t>
            </w:r>
          </w:p>
        </w:tc>
        <w:tc>
          <w:tcPr>
            <w:tcW w:w="1061" w:type="dxa"/>
            <w:tcBorders>
              <w:top w:val="single" w:sz="4" w:space="0" w:color="auto"/>
              <w:left w:val="nil"/>
              <w:bottom w:val="single" w:sz="4" w:space="0" w:color="auto"/>
              <w:right w:val="single" w:sz="4" w:space="0" w:color="auto"/>
            </w:tcBorders>
            <w:shd w:val="clear" w:color="99CC00" w:fill="D9D9D9"/>
            <w:vAlign w:val="center"/>
            <w:hideMark/>
          </w:tcPr>
          <w:p w:rsidR="009A6158" w:rsidRPr="00700E68" w:rsidRDefault="009A6158" w:rsidP="00CD6F78">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Cuenta/</w:t>
            </w:r>
            <w:r w:rsidRPr="00700E68">
              <w:rPr>
                <w:rFonts w:ascii="Arial" w:hAnsi="Arial" w:cs="Arial"/>
                <w:b/>
                <w:bCs/>
                <w:snapToGrid/>
                <w:sz w:val="18"/>
                <w:szCs w:val="18"/>
                <w:lang w:val="es-CO" w:eastAsia="es-CO"/>
              </w:rPr>
              <w:br/>
              <w:t>Subcuenta</w:t>
            </w:r>
          </w:p>
        </w:tc>
        <w:tc>
          <w:tcPr>
            <w:tcW w:w="7478" w:type="dxa"/>
            <w:tcBorders>
              <w:top w:val="single" w:sz="4" w:space="0" w:color="auto"/>
              <w:left w:val="nil"/>
              <w:bottom w:val="single" w:sz="4" w:space="0" w:color="auto"/>
              <w:right w:val="single" w:sz="4" w:space="0" w:color="auto"/>
            </w:tcBorders>
            <w:shd w:val="clear" w:color="99CC00" w:fill="D9D9D9"/>
            <w:vAlign w:val="center"/>
            <w:hideMark/>
          </w:tcPr>
          <w:p w:rsidR="009A6158" w:rsidRPr="00700E68" w:rsidRDefault="009A6158" w:rsidP="00CD6F78">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Denominación</w:t>
            </w:r>
          </w:p>
        </w:tc>
      </w:tr>
      <w:tr w:rsidR="003A13D1" w:rsidRPr="00700E68" w:rsidTr="009A6158">
        <w:trPr>
          <w:trHeight w:val="251"/>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9E3550" w:rsidRPr="00700E68" w:rsidRDefault="009E3550" w:rsidP="00FD52A1">
            <w:pPr>
              <w:jc w:val="center"/>
              <w:rPr>
                <w:rFonts w:ascii="Arial" w:hAnsi="Arial" w:cs="Arial"/>
                <w:snapToGrid/>
                <w:sz w:val="18"/>
                <w:szCs w:val="18"/>
                <w:lang w:val="es-CO" w:eastAsia="es-CO"/>
              </w:rPr>
            </w:pPr>
            <w:r w:rsidRPr="00700E68">
              <w:rPr>
                <w:rFonts w:ascii="Arial" w:hAnsi="Arial" w:cs="Arial"/>
                <w:noProof/>
                <w:snapToGrid/>
                <w:sz w:val="18"/>
                <w:szCs w:val="18"/>
                <w:lang w:val="es-CO" w:eastAsia="es-CO"/>
              </w:rPr>
              <mc:AlternateContent>
                <mc:Choice Requires="wps">
                  <w:drawing>
                    <wp:anchor distT="0" distB="0" distL="114300" distR="114300" simplePos="0" relativeHeight="251680768" behindDoc="0" locked="0" layoutInCell="1" allowOverlap="1" wp14:anchorId="68D810B7" wp14:editId="44062E12">
                      <wp:simplePos x="0" y="0"/>
                      <wp:positionH relativeFrom="column">
                        <wp:posOffset>-103505</wp:posOffset>
                      </wp:positionH>
                      <wp:positionV relativeFrom="paragraph">
                        <wp:posOffset>-266700</wp:posOffset>
                      </wp:positionV>
                      <wp:extent cx="0" cy="9756140"/>
                      <wp:effectExtent l="0" t="0" r="19050" b="1651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614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8.15pt;margin-top:-21pt;width:0;height:76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" strokecolor="black [3213]"/>
                  </w:pict>
                </mc:Fallback>
              </mc:AlternateContent>
            </w:r>
          </w:p>
          <w:p w:rsidR="003A13D1" w:rsidRPr="00700E68" w:rsidRDefault="003A13D1"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3A13D1" w:rsidRPr="00700E68" w:rsidRDefault="003A13D1"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489</w:t>
            </w:r>
          </w:p>
        </w:tc>
        <w:tc>
          <w:tcPr>
            <w:tcW w:w="7478" w:type="dxa"/>
            <w:tcBorders>
              <w:top w:val="nil"/>
              <w:left w:val="nil"/>
              <w:bottom w:val="single" w:sz="4" w:space="0" w:color="auto"/>
              <w:right w:val="single" w:sz="4" w:space="0" w:color="auto"/>
            </w:tcBorders>
            <w:shd w:val="clear" w:color="99CC00" w:fill="auto"/>
            <w:vAlign w:val="center"/>
            <w:hideMark/>
          </w:tcPr>
          <w:p w:rsidR="003A13D1"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de largo plazo otorgados a entidades territoriales cuya calificación de riesgo efectuada por las sociedades calificadoras autorizadas por la SFC sea "B", de acuerdo con lo establecido en el Capítulo 3 del Título 1 del Libro 1 de la Parte 2 del Decreto 2555 de 2010, netos de provisión.</w:t>
            </w:r>
          </w:p>
        </w:tc>
      </w:tr>
    </w:tbl>
    <w:p w:rsidR="003A13D1" w:rsidRPr="00700E68" w:rsidRDefault="003A13D1" w:rsidP="00FD52A1">
      <w:pPr>
        <w:jc w:val="both"/>
        <w:rPr>
          <w:rFonts w:ascii="Arial" w:hAnsi="Arial" w:cs="Arial"/>
          <w:sz w:val="18"/>
          <w:szCs w:val="18"/>
          <w:lang w:val="es-CO"/>
        </w:rPr>
      </w:pPr>
    </w:p>
    <w:p w:rsidR="008222BC" w:rsidRPr="00700E68" w:rsidRDefault="008222BC" w:rsidP="009E3550">
      <w:pPr>
        <w:pStyle w:val="Prrafodelista"/>
        <w:numPr>
          <w:ilvl w:val="2"/>
          <w:numId w:val="21"/>
        </w:numPr>
        <w:ind w:left="851" w:hanging="851"/>
        <w:jc w:val="both"/>
        <w:rPr>
          <w:rFonts w:ascii="Arial" w:hAnsi="Arial" w:cs="Arial"/>
          <w:b/>
          <w:sz w:val="18"/>
          <w:szCs w:val="18"/>
        </w:rPr>
      </w:pPr>
      <w:r w:rsidRPr="00700E68">
        <w:rPr>
          <w:rFonts w:ascii="Arial" w:hAnsi="Arial" w:cs="Arial"/>
          <w:b/>
          <w:sz w:val="18"/>
          <w:szCs w:val="18"/>
        </w:rPr>
        <w:t>Activos que ponderan por riesgo crediticio al ciento cincuenta por ciento (150%):</w:t>
      </w:r>
    </w:p>
    <w:p w:rsidR="003A13D1" w:rsidRPr="00700E68" w:rsidRDefault="003A13D1" w:rsidP="00FD52A1">
      <w:pPr>
        <w:jc w:val="both"/>
        <w:rPr>
          <w:rFonts w:ascii="Arial" w:hAnsi="Arial" w:cs="Arial"/>
          <w:sz w:val="18"/>
          <w:szCs w:val="18"/>
        </w:rPr>
      </w:pPr>
    </w:p>
    <w:tbl>
      <w:tblPr>
        <w:tblW w:w="9360" w:type="dxa"/>
        <w:tblInd w:w="65" w:type="dxa"/>
        <w:tblCellMar>
          <w:left w:w="70" w:type="dxa"/>
          <w:right w:w="70" w:type="dxa"/>
        </w:tblCellMar>
        <w:tblLook w:val="04A0" w:firstRow="1" w:lastRow="0" w:firstColumn="1" w:lastColumn="0" w:noHBand="0" w:noVBand="1"/>
      </w:tblPr>
      <w:tblGrid>
        <w:gridCol w:w="821"/>
        <w:gridCol w:w="1061"/>
        <w:gridCol w:w="7478"/>
      </w:tblGrid>
      <w:tr w:rsidR="003A13D1" w:rsidRPr="00700E68" w:rsidTr="00FD60E6">
        <w:trPr>
          <w:trHeight w:val="369"/>
          <w:tblHeader/>
        </w:trPr>
        <w:tc>
          <w:tcPr>
            <w:tcW w:w="760"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3A13D1" w:rsidRPr="00700E68" w:rsidRDefault="003A13D1"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Reporte</w:t>
            </w:r>
          </w:p>
        </w:tc>
        <w:tc>
          <w:tcPr>
            <w:tcW w:w="958" w:type="dxa"/>
            <w:tcBorders>
              <w:top w:val="single" w:sz="4" w:space="0" w:color="auto"/>
              <w:left w:val="nil"/>
              <w:bottom w:val="single" w:sz="4" w:space="0" w:color="auto"/>
              <w:right w:val="single" w:sz="4" w:space="0" w:color="auto"/>
            </w:tcBorders>
            <w:shd w:val="clear" w:color="99CC00" w:fill="D9D9D9"/>
            <w:vAlign w:val="center"/>
            <w:hideMark/>
          </w:tcPr>
          <w:p w:rsidR="003A13D1" w:rsidRPr="00700E68" w:rsidRDefault="003A13D1"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Cuenta/</w:t>
            </w:r>
            <w:r w:rsidRPr="00700E68">
              <w:rPr>
                <w:rFonts w:ascii="Arial" w:hAnsi="Arial" w:cs="Arial"/>
                <w:b/>
                <w:bCs/>
                <w:snapToGrid/>
                <w:sz w:val="18"/>
                <w:szCs w:val="18"/>
                <w:lang w:val="es-CO" w:eastAsia="es-CO"/>
              </w:rPr>
              <w:br/>
              <w:t>Subcuenta</w:t>
            </w:r>
          </w:p>
        </w:tc>
        <w:tc>
          <w:tcPr>
            <w:tcW w:w="7642" w:type="dxa"/>
            <w:tcBorders>
              <w:top w:val="single" w:sz="4" w:space="0" w:color="auto"/>
              <w:left w:val="nil"/>
              <w:bottom w:val="single" w:sz="4" w:space="0" w:color="auto"/>
              <w:right w:val="single" w:sz="4" w:space="0" w:color="auto"/>
            </w:tcBorders>
            <w:shd w:val="clear" w:color="99CC00" w:fill="D9D9D9"/>
            <w:vAlign w:val="center"/>
            <w:hideMark/>
          </w:tcPr>
          <w:p w:rsidR="003A13D1" w:rsidRPr="00700E68" w:rsidRDefault="003A13D1"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Denominación</w:t>
            </w:r>
          </w:p>
        </w:tc>
      </w:tr>
      <w:tr w:rsidR="003A13D1" w:rsidRPr="00700E68" w:rsidTr="003A13D1">
        <w:trPr>
          <w:trHeight w:val="12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3A13D1" w:rsidRPr="00700E68" w:rsidRDefault="003A13D1"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58" w:type="dxa"/>
            <w:tcBorders>
              <w:top w:val="nil"/>
              <w:left w:val="nil"/>
              <w:bottom w:val="single" w:sz="4" w:space="0" w:color="auto"/>
              <w:right w:val="single" w:sz="4" w:space="0" w:color="auto"/>
            </w:tcBorders>
            <w:shd w:val="clear" w:color="99CC00" w:fill="auto"/>
            <w:noWrap/>
            <w:vAlign w:val="center"/>
            <w:hideMark/>
          </w:tcPr>
          <w:p w:rsidR="003A13D1" w:rsidRPr="00700E68" w:rsidRDefault="003A13D1"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310</w:t>
            </w:r>
          </w:p>
        </w:tc>
        <w:tc>
          <w:tcPr>
            <w:tcW w:w="7642" w:type="dxa"/>
            <w:tcBorders>
              <w:top w:val="nil"/>
              <w:left w:val="nil"/>
              <w:bottom w:val="single" w:sz="4" w:space="0" w:color="auto"/>
              <w:right w:val="single" w:sz="4" w:space="0" w:color="auto"/>
            </w:tcBorders>
            <w:shd w:val="clear" w:color="99CC00" w:fill="auto"/>
            <w:vAlign w:val="center"/>
            <w:hideMark/>
          </w:tcPr>
          <w:p w:rsidR="003A13D1"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Los depósitos de dinero otorgados como mecanismos de seguridad por el originador en procesos de titularización al patrimonio autónomo, mientras se mantengan en el balance del originador.</w:t>
            </w:r>
          </w:p>
        </w:tc>
      </w:tr>
      <w:tr w:rsidR="003A13D1" w:rsidRPr="00700E68" w:rsidTr="003A13D1">
        <w:trPr>
          <w:trHeight w:val="451"/>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3A13D1" w:rsidRPr="00700E68" w:rsidRDefault="003A13D1"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58" w:type="dxa"/>
            <w:tcBorders>
              <w:top w:val="nil"/>
              <w:left w:val="nil"/>
              <w:bottom w:val="single" w:sz="4" w:space="0" w:color="auto"/>
              <w:right w:val="single" w:sz="4" w:space="0" w:color="auto"/>
            </w:tcBorders>
            <w:shd w:val="clear" w:color="99CC00" w:fill="auto"/>
            <w:noWrap/>
            <w:vAlign w:val="center"/>
            <w:hideMark/>
          </w:tcPr>
          <w:p w:rsidR="003A13D1" w:rsidRPr="00700E68" w:rsidRDefault="003A13D1"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320</w:t>
            </w:r>
          </w:p>
        </w:tc>
        <w:tc>
          <w:tcPr>
            <w:tcW w:w="7642" w:type="dxa"/>
            <w:tcBorders>
              <w:top w:val="nil"/>
              <w:left w:val="nil"/>
              <w:bottom w:val="single" w:sz="4" w:space="0" w:color="auto"/>
              <w:right w:val="single" w:sz="4" w:space="0" w:color="auto"/>
            </w:tcBorders>
            <w:shd w:val="clear" w:color="99CC00" w:fill="auto"/>
            <w:vAlign w:val="center"/>
            <w:hideMark/>
          </w:tcPr>
          <w:p w:rsidR="003A13D1"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Los mecanismos de seguridad otorgados por el originador en procesos de titularización al patrimonio autónomo, mientras se mantengan en el balance del originador. (Sobrecolateralización de la cartera, subordinación de la emisión y contratos).</w:t>
            </w:r>
          </w:p>
        </w:tc>
      </w:tr>
      <w:tr w:rsidR="003A13D1" w:rsidRPr="00700E68" w:rsidTr="003A13D1">
        <w:trPr>
          <w:trHeight w:val="176"/>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3A13D1" w:rsidRPr="00700E68" w:rsidRDefault="003A13D1"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958" w:type="dxa"/>
            <w:tcBorders>
              <w:top w:val="nil"/>
              <w:left w:val="nil"/>
              <w:bottom w:val="single" w:sz="4" w:space="0" w:color="auto"/>
              <w:right w:val="single" w:sz="4" w:space="0" w:color="auto"/>
            </w:tcBorders>
            <w:shd w:val="clear" w:color="99CC00" w:fill="auto"/>
            <w:noWrap/>
            <w:vAlign w:val="center"/>
            <w:hideMark/>
          </w:tcPr>
          <w:p w:rsidR="003A13D1" w:rsidRPr="00700E68" w:rsidRDefault="003A13D1"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504</w:t>
            </w:r>
          </w:p>
        </w:tc>
        <w:tc>
          <w:tcPr>
            <w:tcW w:w="7642" w:type="dxa"/>
            <w:tcBorders>
              <w:top w:val="nil"/>
              <w:left w:val="nil"/>
              <w:bottom w:val="single" w:sz="4" w:space="0" w:color="auto"/>
              <w:right w:val="single" w:sz="4" w:space="0" w:color="auto"/>
            </w:tcBorders>
            <w:shd w:val="clear" w:color="99CC00" w:fill="auto"/>
            <w:vAlign w:val="center"/>
            <w:hideMark/>
          </w:tcPr>
          <w:p w:rsidR="003A13D1"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efectuadas en títulos derivados de procesos de titularización con calificación de largo plazo, efectuada por agencia calificadora autorizada  por la SFC sea igual a: BB+, BB, y BB-.</w:t>
            </w:r>
          </w:p>
        </w:tc>
      </w:tr>
    </w:tbl>
    <w:p w:rsidR="008222BC" w:rsidRPr="00700E68" w:rsidRDefault="008222BC" w:rsidP="00FD52A1">
      <w:pPr>
        <w:jc w:val="both"/>
        <w:rPr>
          <w:rFonts w:ascii="Arial" w:hAnsi="Arial" w:cs="Arial"/>
          <w:sz w:val="18"/>
          <w:szCs w:val="18"/>
        </w:rPr>
      </w:pPr>
    </w:p>
    <w:p w:rsidR="008222BC" w:rsidRPr="00700E68" w:rsidRDefault="008222BC" w:rsidP="009E3550">
      <w:pPr>
        <w:pStyle w:val="Prrafodelista"/>
        <w:numPr>
          <w:ilvl w:val="2"/>
          <w:numId w:val="21"/>
        </w:numPr>
        <w:ind w:left="851" w:hanging="851"/>
        <w:jc w:val="both"/>
        <w:rPr>
          <w:rFonts w:ascii="Arial" w:hAnsi="Arial" w:cs="Arial"/>
          <w:b/>
          <w:sz w:val="18"/>
          <w:szCs w:val="18"/>
        </w:rPr>
      </w:pPr>
      <w:r w:rsidRPr="00700E68">
        <w:rPr>
          <w:rFonts w:ascii="Arial" w:hAnsi="Arial" w:cs="Arial"/>
          <w:b/>
          <w:sz w:val="18"/>
          <w:szCs w:val="18"/>
        </w:rPr>
        <w:t>Activos que ponderan por riesgo crediticio al doscientos ciento (200%):</w:t>
      </w:r>
    </w:p>
    <w:p w:rsidR="003A13D1" w:rsidRPr="00700E68" w:rsidRDefault="003A13D1" w:rsidP="00FD52A1">
      <w:pPr>
        <w:jc w:val="both"/>
        <w:rPr>
          <w:rFonts w:ascii="Arial" w:hAnsi="Arial" w:cs="Arial"/>
          <w:sz w:val="18"/>
          <w:szCs w:val="18"/>
        </w:rPr>
      </w:pPr>
    </w:p>
    <w:tbl>
      <w:tblPr>
        <w:tblW w:w="9360" w:type="dxa"/>
        <w:tblInd w:w="65" w:type="dxa"/>
        <w:tblCellMar>
          <w:left w:w="70" w:type="dxa"/>
          <w:right w:w="70" w:type="dxa"/>
        </w:tblCellMar>
        <w:tblLook w:val="04A0" w:firstRow="1" w:lastRow="0" w:firstColumn="1" w:lastColumn="0" w:noHBand="0" w:noVBand="1"/>
      </w:tblPr>
      <w:tblGrid>
        <w:gridCol w:w="821"/>
        <w:gridCol w:w="1061"/>
        <w:gridCol w:w="7478"/>
      </w:tblGrid>
      <w:tr w:rsidR="003A13D1" w:rsidRPr="00700E68" w:rsidTr="003A13D1">
        <w:trPr>
          <w:trHeight w:val="89"/>
        </w:trPr>
        <w:tc>
          <w:tcPr>
            <w:tcW w:w="760"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3A13D1" w:rsidRPr="00700E68" w:rsidRDefault="003A13D1"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Reporte</w:t>
            </w:r>
          </w:p>
        </w:tc>
        <w:tc>
          <w:tcPr>
            <w:tcW w:w="880" w:type="dxa"/>
            <w:tcBorders>
              <w:top w:val="single" w:sz="4" w:space="0" w:color="auto"/>
              <w:left w:val="nil"/>
              <w:bottom w:val="single" w:sz="4" w:space="0" w:color="auto"/>
              <w:right w:val="single" w:sz="4" w:space="0" w:color="auto"/>
            </w:tcBorders>
            <w:shd w:val="clear" w:color="99CC00" w:fill="D9D9D9"/>
            <w:vAlign w:val="center"/>
            <w:hideMark/>
          </w:tcPr>
          <w:p w:rsidR="003A13D1" w:rsidRPr="00700E68" w:rsidRDefault="003A13D1"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Cuenta/</w:t>
            </w:r>
            <w:r w:rsidRPr="00700E68">
              <w:rPr>
                <w:rFonts w:ascii="Arial" w:hAnsi="Arial" w:cs="Arial"/>
                <w:b/>
                <w:bCs/>
                <w:snapToGrid/>
                <w:sz w:val="18"/>
                <w:szCs w:val="18"/>
                <w:lang w:val="es-CO" w:eastAsia="es-CO"/>
              </w:rPr>
              <w:br/>
              <w:t>Subcuenta</w:t>
            </w:r>
          </w:p>
        </w:tc>
        <w:tc>
          <w:tcPr>
            <w:tcW w:w="7720" w:type="dxa"/>
            <w:tcBorders>
              <w:top w:val="single" w:sz="4" w:space="0" w:color="auto"/>
              <w:left w:val="nil"/>
              <w:bottom w:val="single" w:sz="4" w:space="0" w:color="auto"/>
              <w:right w:val="single" w:sz="4" w:space="0" w:color="auto"/>
            </w:tcBorders>
            <w:shd w:val="clear" w:color="99CC00" w:fill="D9D9D9"/>
            <w:vAlign w:val="center"/>
            <w:hideMark/>
          </w:tcPr>
          <w:p w:rsidR="003A13D1" w:rsidRPr="00700E68" w:rsidRDefault="003A13D1"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Denominación</w:t>
            </w:r>
          </w:p>
        </w:tc>
      </w:tr>
      <w:tr w:rsidR="003A13D1" w:rsidRPr="00700E68" w:rsidTr="003A13D1">
        <w:trPr>
          <w:trHeight w:val="45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3A13D1" w:rsidRPr="00700E68" w:rsidRDefault="003A13D1"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3A13D1" w:rsidRPr="00700E68" w:rsidRDefault="003A13D1"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506</w:t>
            </w:r>
          </w:p>
        </w:tc>
        <w:tc>
          <w:tcPr>
            <w:tcW w:w="7720" w:type="dxa"/>
            <w:tcBorders>
              <w:top w:val="nil"/>
              <w:left w:val="nil"/>
              <w:bottom w:val="single" w:sz="4" w:space="0" w:color="auto"/>
              <w:right w:val="single" w:sz="4" w:space="0" w:color="auto"/>
            </w:tcBorders>
            <w:shd w:val="clear" w:color="99CC00" w:fill="auto"/>
            <w:vAlign w:val="center"/>
            <w:hideMark/>
          </w:tcPr>
          <w:p w:rsidR="003A13D1"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efectuadas en títulos  derivados de procesos de titularización con calificación de largo plazo, efectuada por agencia calificadora autorizada  por la SFC sea igual a: B+, B, y B-.</w:t>
            </w:r>
          </w:p>
        </w:tc>
      </w:tr>
    </w:tbl>
    <w:p w:rsidR="003A13D1" w:rsidRPr="00700E68" w:rsidRDefault="003A13D1" w:rsidP="00FD52A1">
      <w:pPr>
        <w:jc w:val="both"/>
        <w:rPr>
          <w:rFonts w:ascii="Arial" w:hAnsi="Arial" w:cs="Arial"/>
          <w:b/>
          <w:sz w:val="18"/>
          <w:szCs w:val="18"/>
          <w:lang w:val="es-CO"/>
        </w:rPr>
      </w:pPr>
    </w:p>
    <w:p w:rsidR="008222BC" w:rsidRPr="00700E68" w:rsidRDefault="008222BC" w:rsidP="009E3550">
      <w:pPr>
        <w:pStyle w:val="Prrafodelista"/>
        <w:numPr>
          <w:ilvl w:val="2"/>
          <w:numId w:val="21"/>
        </w:numPr>
        <w:ind w:left="851" w:hanging="851"/>
        <w:jc w:val="both"/>
        <w:rPr>
          <w:rFonts w:ascii="Arial" w:hAnsi="Arial" w:cs="Arial"/>
          <w:b/>
          <w:sz w:val="18"/>
          <w:szCs w:val="18"/>
        </w:rPr>
      </w:pPr>
      <w:r w:rsidRPr="00700E68">
        <w:rPr>
          <w:rFonts w:ascii="Arial" w:hAnsi="Arial" w:cs="Arial"/>
          <w:b/>
          <w:sz w:val="18"/>
          <w:szCs w:val="18"/>
        </w:rPr>
        <w:t xml:space="preserve">Activos que ponderan por riesgo crediticio al </w:t>
      </w:r>
      <w:r w:rsidR="0047780A" w:rsidRPr="00700E68">
        <w:rPr>
          <w:rFonts w:ascii="Arial" w:hAnsi="Arial" w:cs="Arial"/>
          <w:b/>
          <w:sz w:val="18"/>
          <w:szCs w:val="18"/>
        </w:rPr>
        <w:t>trescientos</w:t>
      </w:r>
      <w:r w:rsidRPr="00700E68">
        <w:rPr>
          <w:rFonts w:ascii="Arial" w:hAnsi="Arial" w:cs="Arial"/>
          <w:b/>
          <w:sz w:val="18"/>
          <w:szCs w:val="18"/>
        </w:rPr>
        <w:t xml:space="preserve"> por ciento (300%):</w:t>
      </w:r>
    </w:p>
    <w:p w:rsidR="003A13D1" w:rsidRPr="00700E68" w:rsidRDefault="003A13D1" w:rsidP="00FD52A1">
      <w:pPr>
        <w:jc w:val="both"/>
        <w:rPr>
          <w:rFonts w:ascii="Arial" w:hAnsi="Arial" w:cs="Arial"/>
          <w:sz w:val="18"/>
          <w:szCs w:val="18"/>
        </w:rPr>
      </w:pPr>
    </w:p>
    <w:tbl>
      <w:tblPr>
        <w:tblW w:w="9360" w:type="dxa"/>
        <w:tblInd w:w="65" w:type="dxa"/>
        <w:tblCellMar>
          <w:left w:w="70" w:type="dxa"/>
          <w:right w:w="70" w:type="dxa"/>
        </w:tblCellMar>
        <w:tblLook w:val="04A0" w:firstRow="1" w:lastRow="0" w:firstColumn="1" w:lastColumn="0" w:noHBand="0" w:noVBand="1"/>
      </w:tblPr>
      <w:tblGrid>
        <w:gridCol w:w="821"/>
        <w:gridCol w:w="1061"/>
        <w:gridCol w:w="7478"/>
      </w:tblGrid>
      <w:tr w:rsidR="003A13D1" w:rsidRPr="00700E68" w:rsidTr="003A13D1">
        <w:trPr>
          <w:trHeight w:val="238"/>
        </w:trPr>
        <w:tc>
          <w:tcPr>
            <w:tcW w:w="760"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3A13D1" w:rsidRPr="00700E68" w:rsidRDefault="003A13D1"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Reporte</w:t>
            </w:r>
          </w:p>
        </w:tc>
        <w:tc>
          <w:tcPr>
            <w:tcW w:w="880" w:type="dxa"/>
            <w:tcBorders>
              <w:top w:val="single" w:sz="4" w:space="0" w:color="auto"/>
              <w:left w:val="nil"/>
              <w:bottom w:val="single" w:sz="4" w:space="0" w:color="auto"/>
              <w:right w:val="single" w:sz="4" w:space="0" w:color="auto"/>
            </w:tcBorders>
            <w:shd w:val="clear" w:color="99CC00" w:fill="D9D9D9"/>
            <w:vAlign w:val="center"/>
            <w:hideMark/>
          </w:tcPr>
          <w:p w:rsidR="003A13D1" w:rsidRPr="00700E68" w:rsidRDefault="003A13D1"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Cuenta/</w:t>
            </w:r>
            <w:r w:rsidRPr="00700E68">
              <w:rPr>
                <w:rFonts w:ascii="Arial" w:hAnsi="Arial" w:cs="Arial"/>
                <w:b/>
                <w:bCs/>
                <w:snapToGrid/>
                <w:sz w:val="18"/>
                <w:szCs w:val="18"/>
                <w:lang w:val="es-CO" w:eastAsia="es-CO"/>
              </w:rPr>
              <w:br/>
              <w:t>Subcuenta</w:t>
            </w:r>
          </w:p>
        </w:tc>
        <w:tc>
          <w:tcPr>
            <w:tcW w:w="7720" w:type="dxa"/>
            <w:tcBorders>
              <w:top w:val="single" w:sz="4" w:space="0" w:color="auto"/>
              <w:left w:val="nil"/>
              <w:bottom w:val="single" w:sz="4" w:space="0" w:color="auto"/>
              <w:right w:val="single" w:sz="4" w:space="0" w:color="auto"/>
            </w:tcBorders>
            <w:shd w:val="clear" w:color="99CC00" w:fill="D9D9D9"/>
            <w:vAlign w:val="center"/>
            <w:hideMark/>
          </w:tcPr>
          <w:p w:rsidR="003A13D1" w:rsidRPr="00700E68" w:rsidRDefault="003A13D1"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Denominación</w:t>
            </w:r>
          </w:p>
        </w:tc>
      </w:tr>
      <w:tr w:rsidR="003A13D1" w:rsidRPr="00700E68" w:rsidTr="003A13D1">
        <w:trPr>
          <w:trHeight w:val="45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3A13D1" w:rsidRPr="00700E68" w:rsidRDefault="003A13D1"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3A13D1" w:rsidRPr="00700E68" w:rsidRDefault="003A13D1"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507</w:t>
            </w:r>
          </w:p>
        </w:tc>
        <w:tc>
          <w:tcPr>
            <w:tcW w:w="7720" w:type="dxa"/>
            <w:tcBorders>
              <w:top w:val="nil"/>
              <w:left w:val="nil"/>
              <w:bottom w:val="single" w:sz="4" w:space="0" w:color="auto"/>
              <w:right w:val="single" w:sz="4" w:space="0" w:color="auto"/>
            </w:tcBorders>
            <w:shd w:val="clear" w:color="99CC00" w:fill="auto"/>
            <w:vAlign w:val="center"/>
            <w:hideMark/>
          </w:tcPr>
          <w:p w:rsidR="003A13D1"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efectuadas en títulos  derivados de procesos de titularización con calificación de largo plazo, efectuada por agencia calificadora autorizada  por la SFC sea igual a: CCC.</w:t>
            </w:r>
          </w:p>
        </w:tc>
      </w:tr>
      <w:tr w:rsidR="003A13D1" w:rsidRPr="00700E68" w:rsidTr="003A13D1">
        <w:trPr>
          <w:trHeight w:val="450"/>
        </w:trPr>
        <w:tc>
          <w:tcPr>
            <w:tcW w:w="760" w:type="dxa"/>
            <w:tcBorders>
              <w:top w:val="nil"/>
              <w:left w:val="single" w:sz="4" w:space="0" w:color="auto"/>
              <w:bottom w:val="single" w:sz="4" w:space="0" w:color="auto"/>
              <w:right w:val="single" w:sz="4" w:space="0" w:color="auto"/>
            </w:tcBorders>
            <w:shd w:val="clear" w:color="99CC00" w:fill="auto"/>
            <w:noWrap/>
            <w:vAlign w:val="center"/>
            <w:hideMark/>
          </w:tcPr>
          <w:p w:rsidR="003A13D1" w:rsidRPr="00700E68" w:rsidRDefault="003A13D1"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880" w:type="dxa"/>
            <w:tcBorders>
              <w:top w:val="nil"/>
              <w:left w:val="nil"/>
              <w:bottom w:val="single" w:sz="4" w:space="0" w:color="auto"/>
              <w:right w:val="single" w:sz="4" w:space="0" w:color="auto"/>
            </w:tcBorders>
            <w:shd w:val="clear" w:color="99CC00" w:fill="auto"/>
            <w:noWrap/>
            <w:vAlign w:val="center"/>
            <w:hideMark/>
          </w:tcPr>
          <w:p w:rsidR="003A13D1" w:rsidRPr="00700E68" w:rsidRDefault="003A13D1"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514</w:t>
            </w:r>
          </w:p>
        </w:tc>
        <w:tc>
          <w:tcPr>
            <w:tcW w:w="7720" w:type="dxa"/>
            <w:tcBorders>
              <w:top w:val="nil"/>
              <w:left w:val="nil"/>
              <w:bottom w:val="single" w:sz="4" w:space="0" w:color="auto"/>
              <w:right w:val="single" w:sz="4" w:space="0" w:color="auto"/>
            </w:tcBorders>
            <w:shd w:val="clear" w:color="99CC00" w:fill="auto"/>
            <w:vAlign w:val="center"/>
            <w:hideMark/>
          </w:tcPr>
          <w:p w:rsidR="003A13D1"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Inversiones efectuadas en títulos  derivados de procesos de titularización con calificación de corto plazo, efectuada por agencia calificadora autorizada  por la SFC sea igual a: 4.</w:t>
            </w:r>
          </w:p>
        </w:tc>
      </w:tr>
    </w:tbl>
    <w:p w:rsidR="009640B6" w:rsidRPr="00700E68" w:rsidRDefault="009640B6" w:rsidP="00FD52A1">
      <w:pPr>
        <w:pStyle w:val="Prrafodelista"/>
        <w:ind w:left="0"/>
        <w:jc w:val="both"/>
        <w:rPr>
          <w:rFonts w:ascii="Arial" w:hAnsi="Arial" w:cs="Arial"/>
          <w:sz w:val="18"/>
          <w:szCs w:val="18"/>
          <w:lang w:val="es-CO"/>
        </w:rPr>
      </w:pPr>
    </w:p>
    <w:p w:rsidR="00573194" w:rsidRPr="00700E68" w:rsidRDefault="00573194" w:rsidP="009E3550">
      <w:pPr>
        <w:pStyle w:val="Prrafodelista"/>
        <w:numPr>
          <w:ilvl w:val="2"/>
          <w:numId w:val="21"/>
        </w:numPr>
        <w:ind w:left="851" w:hanging="851"/>
        <w:jc w:val="both"/>
        <w:rPr>
          <w:rFonts w:ascii="Arial" w:hAnsi="Arial" w:cs="Arial"/>
          <w:b/>
          <w:sz w:val="18"/>
          <w:szCs w:val="18"/>
          <w:lang w:val="es-CO"/>
        </w:rPr>
      </w:pPr>
      <w:r w:rsidRPr="00700E68">
        <w:rPr>
          <w:rFonts w:ascii="Arial" w:hAnsi="Arial" w:cs="Arial"/>
          <w:b/>
          <w:sz w:val="18"/>
          <w:szCs w:val="18"/>
          <w:lang w:val="es-CO"/>
        </w:rPr>
        <w:t>C</w:t>
      </w:r>
      <w:r w:rsidR="00C4172B" w:rsidRPr="00700E68">
        <w:rPr>
          <w:rFonts w:ascii="Arial" w:hAnsi="Arial" w:cs="Arial"/>
          <w:b/>
          <w:sz w:val="18"/>
          <w:szCs w:val="18"/>
          <w:lang w:val="es-CO"/>
        </w:rPr>
        <w:t xml:space="preserve">lasificación y </w:t>
      </w:r>
      <w:r w:rsidR="00D022D1" w:rsidRPr="00700E68">
        <w:rPr>
          <w:rFonts w:ascii="Arial" w:hAnsi="Arial" w:cs="Arial"/>
          <w:b/>
          <w:sz w:val="18"/>
          <w:szCs w:val="18"/>
          <w:lang w:val="es-CO"/>
        </w:rPr>
        <w:t>p</w:t>
      </w:r>
      <w:r w:rsidR="00E0713E" w:rsidRPr="00700E68">
        <w:rPr>
          <w:rFonts w:ascii="Arial" w:hAnsi="Arial" w:cs="Arial"/>
          <w:b/>
          <w:sz w:val="18"/>
          <w:szCs w:val="18"/>
          <w:lang w:val="es-CO"/>
        </w:rPr>
        <w:t>onderación de los contingentes y</w:t>
      </w:r>
      <w:r w:rsidRPr="00700E68">
        <w:rPr>
          <w:rFonts w:ascii="Arial" w:hAnsi="Arial" w:cs="Arial"/>
          <w:b/>
          <w:sz w:val="18"/>
          <w:szCs w:val="18"/>
          <w:lang w:val="es-CO"/>
        </w:rPr>
        <w:t xml:space="preserve"> de</w:t>
      </w:r>
      <w:r w:rsidR="009A112A" w:rsidRPr="00700E68">
        <w:rPr>
          <w:rFonts w:ascii="Arial" w:hAnsi="Arial" w:cs="Arial"/>
          <w:b/>
          <w:sz w:val="18"/>
          <w:szCs w:val="18"/>
          <w:lang w:val="es-CO"/>
        </w:rPr>
        <w:t xml:space="preserve"> </w:t>
      </w:r>
      <w:r w:rsidR="00C4172B" w:rsidRPr="00700E68">
        <w:rPr>
          <w:rFonts w:ascii="Arial" w:hAnsi="Arial" w:cs="Arial"/>
          <w:b/>
          <w:sz w:val="18"/>
          <w:szCs w:val="18"/>
          <w:lang w:val="es-CO"/>
        </w:rPr>
        <w:t>los negocios</w:t>
      </w:r>
      <w:r w:rsidR="00D022D1" w:rsidRPr="00700E68">
        <w:rPr>
          <w:rFonts w:ascii="Arial" w:hAnsi="Arial" w:cs="Arial"/>
          <w:b/>
          <w:sz w:val="18"/>
          <w:szCs w:val="18"/>
          <w:lang w:val="es-CO"/>
        </w:rPr>
        <w:t xml:space="preserve"> </w:t>
      </w:r>
      <w:r w:rsidR="00C4172B" w:rsidRPr="00700E68">
        <w:rPr>
          <w:rFonts w:ascii="Arial" w:hAnsi="Arial" w:cs="Arial"/>
          <w:b/>
          <w:sz w:val="18"/>
          <w:szCs w:val="18"/>
          <w:lang w:val="es-CO"/>
        </w:rPr>
        <w:t>y encargos fiduciarios</w:t>
      </w:r>
      <w:r w:rsidRPr="00700E68">
        <w:rPr>
          <w:rFonts w:ascii="Arial" w:hAnsi="Arial" w:cs="Arial"/>
          <w:b/>
          <w:sz w:val="18"/>
          <w:szCs w:val="18"/>
          <w:lang w:val="es-CO"/>
        </w:rPr>
        <w:t>.</w:t>
      </w:r>
    </w:p>
    <w:p w:rsidR="00573194" w:rsidRPr="00700E68" w:rsidRDefault="00573194" w:rsidP="00573194">
      <w:pPr>
        <w:pStyle w:val="Prrafodelista"/>
        <w:ind w:left="0"/>
        <w:jc w:val="both"/>
        <w:rPr>
          <w:rFonts w:ascii="Arial" w:hAnsi="Arial" w:cs="Arial"/>
          <w:sz w:val="18"/>
          <w:szCs w:val="18"/>
          <w:lang w:val="es-CO"/>
        </w:rPr>
      </w:pPr>
    </w:p>
    <w:p w:rsidR="00C4172B" w:rsidRPr="00700E68" w:rsidRDefault="00573194" w:rsidP="00573194">
      <w:pPr>
        <w:pStyle w:val="Prrafodelista"/>
        <w:ind w:left="0"/>
        <w:jc w:val="both"/>
        <w:rPr>
          <w:rFonts w:ascii="Arial" w:hAnsi="Arial" w:cs="Arial"/>
          <w:sz w:val="18"/>
          <w:szCs w:val="18"/>
          <w:lang w:val="es-CO"/>
        </w:rPr>
      </w:pPr>
      <w:r w:rsidRPr="00700E68">
        <w:rPr>
          <w:rFonts w:ascii="Arial" w:hAnsi="Arial" w:cs="Arial"/>
          <w:sz w:val="18"/>
          <w:szCs w:val="18"/>
          <w:lang w:val="es-CO"/>
        </w:rPr>
        <w:t xml:space="preserve">La clasificación y ponderación de los contingentes, así como de los </w:t>
      </w:r>
      <w:r w:rsidR="003978E3" w:rsidRPr="00700E68">
        <w:rPr>
          <w:rFonts w:ascii="Arial" w:hAnsi="Arial" w:cs="Arial"/>
          <w:sz w:val="18"/>
          <w:szCs w:val="18"/>
          <w:lang w:val="es-CO"/>
        </w:rPr>
        <w:t xml:space="preserve">negocios y encargos fiduciarios </w:t>
      </w:r>
      <w:r w:rsidR="00C4172B" w:rsidRPr="00700E68">
        <w:rPr>
          <w:rFonts w:ascii="Arial" w:hAnsi="Arial" w:cs="Arial"/>
          <w:sz w:val="18"/>
          <w:szCs w:val="18"/>
          <w:lang w:val="es-CO"/>
        </w:rPr>
        <w:t>se debe realizar conforme lo establece el artículo 2.1.1.3.3 del Decreto 2555 de 2010. Para el efecto,</w:t>
      </w:r>
      <w:r w:rsidR="00D022D1" w:rsidRPr="00700E68">
        <w:rPr>
          <w:rFonts w:ascii="Arial" w:hAnsi="Arial" w:cs="Arial"/>
          <w:sz w:val="18"/>
          <w:szCs w:val="18"/>
          <w:lang w:val="es-CO"/>
        </w:rPr>
        <w:t xml:space="preserve"> el valor de las contingencias,</w:t>
      </w:r>
      <w:r w:rsidR="00C4172B" w:rsidRPr="00700E68">
        <w:rPr>
          <w:rFonts w:ascii="Arial" w:hAnsi="Arial" w:cs="Arial"/>
          <w:sz w:val="18"/>
          <w:szCs w:val="18"/>
          <w:lang w:val="es-CO"/>
        </w:rPr>
        <w:t xml:space="preserve"> negocios y encargos fiduciarios que se reconocen en el APNR corresponde a la multiplicación del valor </w:t>
      </w:r>
      <w:r w:rsidR="003978E3" w:rsidRPr="00700E68">
        <w:rPr>
          <w:rFonts w:ascii="Arial" w:hAnsi="Arial" w:cs="Arial"/>
          <w:sz w:val="18"/>
          <w:szCs w:val="18"/>
          <w:lang w:val="es-CO"/>
        </w:rPr>
        <w:t>de la cuenta/subcuenta</w:t>
      </w:r>
      <w:r w:rsidR="00D022D1" w:rsidRPr="00700E68">
        <w:rPr>
          <w:rFonts w:ascii="Arial" w:hAnsi="Arial" w:cs="Arial"/>
          <w:sz w:val="18"/>
          <w:szCs w:val="18"/>
          <w:lang w:val="es-CO"/>
        </w:rPr>
        <w:t xml:space="preserve"> por el factor de conversión por la ponderación de</w:t>
      </w:r>
      <w:r w:rsidR="00C4172B" w:rsidRPr="00700E68">
        <w:rPr>
          <w:rFonts w:ascii="Arial" w:hAnsi="Arial" w:cs="Arial"/>
          <w:sz w:val="18"/>
          <w:szCs w:val="18"/>
          <w:lang w:val="es-CO"/>
        </w:rPr>
        <w:t xml:space="preserve"> riesgo co</w:t>
      </w:r>
      <w:r w:rsidR="000D58B7" w:rsidRPr="00700E68">
        <w:rPr>
          <w:rFonts w:ascii="Arial" w:hAnsi="Arial" w:cs="Arial"/>
          <w:sz w:val="18"/>
          <w:szCs w:val="18"/>
          <w:lang w:val="es-CO"/>
        </w:rPr>
        <w:t>rrespondiente</w:t>
      </w:r>
      <w:r w:rsidR="00FD60E6" w:rsidRPr="00700E68">
        <w:rPr>
          <w:rFonts w:ascii="Arial" w:hAnsi="Arial" w:cs="Arial"/>
          <w:sz w:val="18"/>
          <w:szCs w:val="18"/>
          <w:lang w:val="es-CO"/>
        </w:rPr>
        <w:t>.</w:t>
      </w:r>
    </w:p>
    <w:p w:rsidR="00937D3D" w:rsidRPr="00700E68" w:rsidRDefault="00937D3D" w:rsidP="00FD52A1">
      <w:pPr>
        <w:pStyle w:val="Prrafodelista"/>
        <w:ind w:left="0"/>
        <w:jc w:val="both"/>
        <w:rPr>
          <w:rFonts w:ascii="Arial" w:hAnsi="Arial" w:cs="Arial"/>
          <w:sz w:val="18"/>
          <w:szCs w:val="18"/>
          <w:lang w:val="es-CO"/>
        </w:rPr>
      </w:pPr>
    </w:p>
    <w:p w:rsidR="00A751EF" w:rsidRPr="00700E68" w:rsidRDefault="00700749" w:rsidP="00FD52A1">
      <w:pPr>
        <w:pStyle w:val="Prrafodelista"/>
        <w:ind w:left="0"/>
        <w:jc w:val="both"/>
        <w:rPr>
          <w:rFonts w:ascii="Arial" w:hAnsi="Arial" w:cs="Arial"/>
          <w:sz w:val="18"/>
          <w:szCs w:val="18"/>
        </w:rPr>
      </w:pPr>
      <m:oMathPara>
        <m:oMath>
          <m:sSub>
            <m:sSubPr>
              <m:ctrlPr>
                <w:rPr>
                  <w:rFonts w:ascii="Cambria Math" w:hAnsi="Cambria Math" w:cs="Arial"/>
                  <w:i/>
                  <w:sz w:val="18"/>
                  <w:szCs w:val="18"/>
                </w:rPr>
              </m:ctrlPr>
            </m:sSubPr>
            <m:e>
              <m:eqArr>
                <m:eqArrPr>
                  <m:ctrlPr>
                    <w:rPr>
                      <w:rFonts w:ascii="Cambria Math" w:hAnsi="Cambria Math" w:cs="Arial"/>
                      <w:i/>
                      <w:sz w:val="18"/>
                      <w:szCs w:val="18"/>
                    </w:rPr>
                  </m:ctrlPr>
                </m:eqArrPr>
                <m:e>
                  <m:r>
                    <w:rPr>
                      <w:rFonts w:ascii="Cambria Math" w:hAnsi="Cambria Math" w:cs="Arial"/>
                      <w:sz w:val="18"/>
                      <w:szCs w:val="18"/>
                    </w:rPr>
                    <m:t>Ponderación de las contingenc</m:t>
                  </m:r>
                  <m:r>
                    <w:rPr>
                      <w:rFonts w:ascii="Cambria Math" w:hAnsi="Cambria Math" w:cs="Arial"/>
                      <w:sz w:val="18"/>
                      <w:szCs w:val="18"/>
                    </w:rPr>
                    <m:t xml:space="preserve">ias, </m:t>
                  </m:r>
                </m:e>
                <m:e>
                  <m:r>
                    <w:rPr>
                      <w:rFonts w:ascii="Cambria Math" w:hAnsi="Cambria Math" w:cs="Arial"/>
                      <w:sz w:val="18"/>
                      <w:szCs w:val="18"/>
                    </w:rPr>
                    <m:t>negocios y encargos fiduciarios</m:t>
                  </m:r>
                </m:e>
              </m:eqArr>
            </m:e>
            <m:sub>
              <m:r>
                <w:rPr>
                  <w:rFonts w:ascii="Cambria Math" w:hAnsi="Cambria Math" w:cs="Arial"/>
                  <w:sz w:val="18"/>
                  <w:szCs w:val="18"/>
                </w:rPr>
                <m:t>i</m:t>
              </m:r>
            </m:sub>
          </m:sSub>
          <m:r>
            <w:rPr>
              <w:rFonts w:ascii="Cambria Math" w:hAnsi="Cambria Math" w:cs="Arial"/>
              <w:sz w:val="18"/>
              <w:szCs w:val="18"/>
            </w:rPr>
            <m:t xml:space="preserve">= </m:t>
          </m:r>
        </m:oMath>
      </m:oMathPara>
    </w:p>
    <w:p w:rsidR="00A751EF" w:rsidRPr="00700E68" w:rsidRDefault="00A751EF" w:rsidP="00FD52A1">
      <w:pPr>
        <w:pStyle w:val="Prrafodelista"/>
        <w:ind w:left="0"/>
        <w:jc w:val="both"/>
        <w:rPr>
          <w:rFonts w:ascii="Arial" w:hAnsi="Arial" w:cs="Arial"/>
          <w:sz w:val="18"/>
          <w:szCs w:val="18"/>
        </w:rPr>
      </w:pPr>
    </w:p>
    <w:p w:rsidR="00937D3D" w:rsidRPr="00700E68" w:rsidRDefault="004A32B9" w:rsidP="00FD52A1">
      <w:pPr>
        <w:pStyle w:val="Prrafodelista"/>
        <w:ind w:left="0"/>
        <w:jc w:val="both"/>
        <w:rPr>
          <w:rFonts w:ascii="Arial" w:hAnsi="Arial" w:cs="Arial"/>
          <w:sz w:val="18"/>
          <w:szCs w:val="18"/>
          <w:lang w:val="es-CO"/>
        </w:rPr>
      </w:pPr>
      <m:oMathPara>
        <m:oMath>
          <m:r>
            <w:rPr>
              <w:rFonts w:ascii="Cambria Math" w:hAnsi="Cambria Math" w:cs="Arial"/>
              <w:sz w:val="18"/>
              <w:szCs w:val="18"/>
            </w:rPr>
            <m:t xml:space="preserve">  </m:t>
          </m:r>
          <m:d>
            <m:dPr>
              <m:ctrlPr>
                <w:rPr>
                  <w:rFonts w:ascii="Cambria Math" w:hAnsi="Cambria Math" w:cs="Arial"/>
                  <w:i/>
                  <w:sz w:val="18"/>
                  <w:szCs w:val="18"/>
                </w:rPr>
              </m:ctrlPr>
            </m:dPr>
            <m:e>
              <m:sSub>
                <m:sSubPr>
                  <m:ctrlPr>
                    <w:rPr>
                      <w:rFonts w:ascii="Cambria Math" w:hAnsi="Cambria Math" w:cs="Arial"/>
                      <w:i/>
                      <w:sz w:val="18"/>
                      <w:szCs w:val="18"/>
                    </w:rPr>
                  </m:ctrlPr>
                </m:sSubPr>
                <m:e>
                  <m:eqArr>
                    <m:eqArrPr>
                      <m:ctrlPr>
                        <w:rPr>
                          <w:rFonts w:ascii="Cambria Math" w:hAnsi="Cambria Math" w:cs="Arial"/>
                          <w:i/>
                          <w:sz w:val="18"/>
                          <w:szCs w:val="18"/>
                        </w:rPr>
                      </m:ctrlPr>
                    </m:eqArrPr>
                    <m:e>
                      <m:r>
                        <w:rPr>
                          <w:rFonts w:ascii="Cambria Math" w:hAnsi="Cambria Math" w:cs="Arial"/>
                          <w:sz w:val="18"/>
                          <w:szCs w:val="18"/>
                        </w:rPr>
                        <m:t xml:space="preserve">Contingencias, </m:t>
                      </m:r>
                    </m:e>
                    <m:e>
                      <m:r>
                        <w:rPr>
                          <w:rFonts w:ascii="Cambria Math" w:hAnsi="Cambria Math" w:cs="Arial"/>
                          <w:sz w:val="18"/>
                          <w:szCs w:val="18"/>
                        </w:rPr>
                        <m:t>negocios y encargos fiduciarios</m:t>
                      </m:r>
                    </m:e>
                  </m:eqArr>
                </m:e>
                <m:sub>
                  <m:r>
                    <w:rPr>
                      <w:rFonts w:ascii="Cambria Math" w:hAnsi="Cambria Math" w:cs="Arial"/>
                      <w:sz w:val="18"/>
                      <w:szCs w:val="18"/>
                    </w:rPr>
                    <m:t>i</m:t>
                  </m:r>
                </m:sub>
              </m:sSub>
            </m:e>
          </m:d>
          <m:r>
            <w:rPr>
              <w:rFonts w:ascii="Cambria Math" w:hAnsi="Cambria Math" w:cs="Arial"/>
              <w:sz w:val="18"/>
              <w:szCs w:val="18"/>
            </w:rPr>
            <m:t>*</m:t>
          </m:r>
          <m:d>
            <m:dPr>
              <m:ctrlPr>
                <w:rPr>
                  <w:rFonts w:ascii="Cambria Math" w:hAnsi="Cambria Math" w:cs="Arial"/>
                  <w:i/>
                  <w:sz w:val="18"/>
                  <w:szCs w:val="18"/>
                </w:rPr>
              </m:ctrlPr>
            </m:dPr>
            <m:e>
              <m:sSub>
                <m:sSubPr>
                  <m:ctrlPr>
                    <w:rPr>
                      <w:rFonts w:ascii="Cambria Math" w:hAnsi="Cambria Math" w:cs="Arial"/>
                      <w:i/>
                      <w:sz w:val="18"/>
                      <w:szCs w:val="18"/>
                    </w:rPr>
                  </m:ctrlPr>
                </m:sSubPr>
                <m:e>
                  <m:eqArr>
                    <m:eqArrPr>
                      <m:ctrlPr>
                        <w:rPr>
                          <w:rFonts w:ascii="Cambria Math" w:hAnsi="Cambria Math" w:cs="Arial"/>
                          <w:i/>
                          <w:sz w:val="18"/>
                          <w:szCs w:val="18"/>
                        </w:rPr>
                      </m:ctrlPr>
                    </m:eqArrPr>
                    <m:e>
                      <m:r>
                        <w:rPr>
                          <w:rFonts w:ascii="Cambria Math" w:hAnsi="Cambria Math" w:cs="Arial"/>
                          <w:sz w:val="18"/>
                          <w:szCs w:val="18"/>
                        </w:rPr>
                        <m:t xml:space="preserve">Factor de  </m:t>
                      </m:r>
                    </m:e>
                    <m:e>
                      <m:r>
                        <w:rPr>
                          <w:rFonts w:ascii="Cambria Math" w:hAnsi="Cambria Math" w:cs="Arial"/>
                          <w:sz w:val="18"/>
                          <w:szCs w:val="18"/>
                        </w:rPr>
                        <m:t>conversión</m:t>
                      </m:r>
                    </m:e>
                  </m:eqArr>
                </m:e>
                <m:sub>
                  <m:r>
                    <w:rPr>
                      <w:rFonts w:ascii="Cambria Math" w:hAnsi="Cambria Math" w:cs="Arial"/>
                      <w:sz w:val="18"/>
                      <w:szCs w:val="18"/>
                    </w:rPr>
                    <m:t>i</m:t>
                  </m:r>
                </m:sub>
              </m:sSub>
            </m:e>
          </m:d>
          <m:r>
            <w:rPr>
              <w:rFonts w:ascii="Cambria Math" w:hAnsi="Cambria Math" w:cs="Arial"/>
              <w:sz w:val="18"/>
              <w:szCs w:val="18"/>
            </w:rPr>
            <m:t>*</m:t>
          </m:r>
          <m:d>
            <m:dPr>
              <m:ctrlPr>
                <w:rPr>
                  <w:rFonts w:ascii="Cambria Math" w:hAnsi="Cambria Math" w:cs="Arial"/>
                  <w:i/>
                  <w:sz w:val="18"/>
                  <w:szCs w:val="18"/>
                </w:rPr>
              </m:ctrlPr>
            </m:dPr>
            <m:e>
              <m:sSub>
                <m:sSubPr>
                  <m:ctrlPr>
                    <w:rPr>
                      <w:rFonts w:ascii="Cambria Math" w:hAnsi="Cambria Math" w:cs="Arial"/>
                      <w:i/>
                      <w:sz w:val="18"/>
                      <w:szCs w:val="18"/>
                    </w:rPr>
                  </m:ctrlPr>
                </m:sSubPr>
                <m:e>
                  <m:eqArr>
                    <m:eqArrPr>
                      <m:ctrlPr>
                        <w:rPr>
                          <w:rFonts w:ascii="Cambria Math" w:hAnsi="Cambria Math" w:cs="Arial"/>
                          <w:i/>
                          <w:sz w:val="18"/>
                          <w:szCs w:val="18"/>
                        </w:rPr>
                      </m:ctrlPr>
                    </m:eqArrPr>
                    <m:e>
                      <m:r>
                        <w:rPr>
                          <w:rFonts w:ascii="Cambria Math" w:hAnsi="Cambria Math" w:cs="Arial"/>
                          <w:sz w:val="18"/>
                          <w:szCs w:val="18"/>
                        </w:rPr>
                        <m:t xml:space="preserve">Ponderación </m:t>
                      </m:r>
                    </m:e>
                    <m:e>
                      <m:r>
                        <w:rPr>
                          <w:rFonts w:ascii="Cambria Math" w:hAnsi="Cambria Math" w:cs="Arial"/>
                          <w:sz w:val="18"/>
                          <w:szCs w:val="18"/>
                        </w:rPr>
                        <m:t>por riesgo de créditicio</m:t>
                      </m:r>
                    </m:e>
                  </m:eqArr>
                </m:e>
                <m:sub>
                  <m:r>
                    <w:rPr>
                      <w:rFonts w:ascii="Cambria Math" w:hAnsi="Cambria Math" w:cs="Arial"/>
                      <w:sz w:val="18"/>
                      <w:szCs w:val="18"/>
                    </w:rPr>
                    <m:t>i</m:t>
                  </m:r>
                </m:sub>
              </m:sSub>
            </m:e>
          </m:d>
        </m:oMath>
      </m:oMathPara>
    </w:p>
    <w:p w:rsidR="00937D3D" w:rsidRPr="00700E68" w:rsidRDefault="00937D3D" w:rsidP="00FD52A1">
      <w:pPr>
        <w:pStyle w:val="Prrafodelista"/>
        <w:ind w:left="0"/>
        <w:jc w:val="both"/>
        <w:rPr>
          <w:rFonts w:ascii="Arial" w:hAnsi="Arial" w:cs="Arial"/>
          <w:sz w:val="18"/>
          <w:szCs w:val="18"/>
          <w:lang w:val="es-CO"/>
        </w:rPr>
      </w:pPr>
    </w:p>
    <w:tbl>
      <w:tblPr>
        <w:tblW w:w="9360" w:type="dxa"/>
        <w:tblInd w:w="65" w:type="dxa"/>
        <w:tblCellMar>
          <w:left w:w="70" w:type="dxa"/>
          <w:right w:w="70" w:type="dxa"/>
        </w:tblCellMar>
        <w:tblLook w:val="04A0" w:firstRow="1" w:lastRow="0" w:firstColumn="1" w:lastColumn="0" w:noHBand="0" w:noVBand="1"/>
      </w:tblPr>
      <w:tblGrid>
        <w:gridCol w:w="821"/>
        <w:gridCol w:w="1061"/>
        <w:gridCol w:w="5116"/>
        <w:gridCol w:w="1131"/>
        <w:gridCol w:w="1231"/>
      </w:tblGrid>
      <w:tr w:rsidR="007E4ACA" w:rsidRPr="00700E68" w:rsidTr="00937D3D">
        <w:trPr>
          <w:trHeight w:val="385"/>
          <w:tblHeader/>
        </w:trPr>
        <w:tc>
          <w:tcPr>
            <w:tcW w:w="821" w:type="dxa"/>
            <w:tcBorders>
              <w:top w:val="single" w:sz="4" w:space="0" w:color="auto"/>
              <w:left w:val="single" w:sz="4" w:space="0" w:color="auto"/>
              <w:bottom w:val="single" w:sz="4" w:space="0" w:color="auto"/>
              <w:right w:val="single" w:sz="4" w:space="0" w:color="auto"/>
            </w:tcBorders>
            <w:shd w:val="clear" w:color="99CC00" w:fill="D9D9D9"/>
            <w:vAlign w:val="center"/>
            <w:hideMark/>
          </w:tcPr>
          <w:p w:rsidR="007E4ACA" w:rsidRPr="00700E68" w:rsidRDefault="007E4ACA"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Reporte</w:t>
            </w:r>
          </w:p>
        </w:tc>
        <w:tc>
          <w:tcPr>
            <w:tcW w:w="1061" w:type="dxa"/>
            <w:tcBorders>
              <w:top w:val="single" w:sz="4" w:space="0" w:color="auto"/>
              <w:left w:val="nil"/>
              <w:bottom w:val="single" w:sz="4" w:space="0" w:color="auto"/>
              <w:right w:val="single" w:sz="4" w:space="0" w:color="auto"/>
            </w:tcBorders>
            <w:shd w:val="clear" w:color="99CC00" w:fill="D9D9D9"/>
            <w:vAlign w:val="center"/>
            <w:hideMark/>
          </w:tcPr>
          <w:p w:rsidR="007E4ACA" w:rsidRPr="00700E68" w:rsidRDefault="007E4ACA"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Cuenta/</w:t>
            </w:r>
            <w:r w:rsidRPr="00700E68">
              <w:rPr>
                <w:rFonts w:ascii="Arial" w:hAnsi="Arial" w:cs="Arial"/>
                <w:b/>
                <w:bCs/>
                <w:snapToGrid/>
                <w:sz w:val="18"/>
                <w:szCs w:val="18"/>
                <w:lang w:val="es-CO" w:eastAsia="es-CO"/>
              </w:rPr>
              <w:br/>
              <w:t>Subcuenta</w:t>
            </w:r>
          </w:p>
        </w:tc>
        <w:tc>
          <w:tcPr>
            <w:tcW w:w="5116" w:type="dxa"/>
            <w:tcBorders>
              <w:top w:val="single" w:sz="4" w:space="0" w:color="auto"/>
              <w:left w:val="nil"/>
              <w:bottom w:val="single" w:sz="4" w:space="0" w:color="auto"/>
              <w:right w:val="single" w:sz="4" w:space="0" w:color="auto"/>
            </w:tcBorders>
            <w:shd w:val="clear" w:color="99CC00" w:fill="D9D9D9"/>
            <w:vAlign w:val="center"/>
            <w:hideMark/>
          </w:tcPr>
          <w:p w:rsidR="007E4ACA" w:rsidRPr="00700E68" w:rsidRDefault="007E4ACA"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Denominación</w:t>
            </w:r>
          </w:p>
        </w:tc>
        <w:tc>
          <w:tcPr>
            <w:tcW w:w="1131" w:type="dxa"/>
            <w:tcBorders>
              <w:top w:val="single" w:sz="4" w:space="0" w:color="auto"/>
              <w:left w:val="nil"/>
              <w:bottom w:val="single" w:sz="4" w:space="0" w:color="auto"/>
              <w:right w:val="single" w:sz="4" w:space="0" w:color="auto"/>
            </w:tcBorders>
            <w:shd w:val="clear" w:color="99CC00" w:fill="D9D9D9"/>
            <w:vAlign w:val="center"/>
            <w:hideMark/>
          </w:tcPr>
          <w:p w:rsidR="007E4ACA" w:rsidRPr="00700E68" w:rsidRDefault="007E4ACA"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Factor de Conversión</w:t>
            </w:r>
          </w:p>
        </w:tc>
        <w:tc>
          <w:tcPr>
            <w:tcW w:w="1231" w:type="dxa"/>
            <w:tcBorders>
              <w:top w:val="single" w:sz="4" w:space="0" w:color="auto"/>
              <w:left w:val="nil"/>
              <w:bottom w:val="single" w:sz="4" w:space="0" w:color="auto"/>
              <w:right w:val="single" w:sz="4" w:space="0" w:color="auto"/>
            </w:tcBorders>
            <w:shd w:val="clear" w:color="99CC00" w:fill="D9D9D9"/>
            <w:vAlign w:val="center"/>
            <w:hideMark/>
          </w:tcPr>
          <w:p w:rsidR="007E4ACA" w:rsidRPr="00700E68" w:rsidRDefault="007E4ACA" w:rsidP="00FD52A1">
            <w:pPr>
              <w:jc w:val="center"/>
              <w:rPr>
                <w:rFonts w:ascii="Arial" w:hAnsi="Arial" w:cs="Arial"/>
                <w:b/>
                <w:bCs/>
                <w:snapToGrid/>
                <w:sz w:val="18"/>
                <w:szCs w:val="18"/>
                <w:lang w:val="es-CO" w:eastAsia="es-CO"/>
              </w:rPr>
            </w:pPr>
            <w:r w:rsidRPr="00700E68">
              <w:rPr>
                <w:rFonts w:ascii="Arial" w:hAnsi="Arial" w:cs="Arial"/>
                <w:b/>
                <w:bCs/>
                <w:snapToGrid/>
                <w:sz w:val="18"/>
                <w:szCs w:val="18"/>
                <w:lang w:val="es-CO" w:eastAsia="es-CO"/>
              </w:rPr>
              <w:t>Ponderación por riesgo</w:t>
            </w:r>
          </w:p>
        </w:tc>
      </w:tr>
      <w:tr w:rsidR="007E4ACA" w:rsidRPr="00700E68" w:rsidTr="00937D3D">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w:t>
            </w:r>
          </w:p>
        </w:tc>
        <w:tc>
          <w:tcPr>
            <w:tcW w:w="106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620500</w:t>
            </w:r>
          </w:p>
        </w:tc>
        <w:tc>
          <w:tcPr>
            <w:tcW w:w="5116" w:type="dxa"/>
            <w:tcBorders>
              <w:top w:val="nil"/>
              <w:left w:val="nil"/>
              <w:bottom w:val="single" w:sz="4" w:space="0" w:color="auto"/>
              <w:right w:val="single" w:sz="4" w:space="0" w:color="auto"/>
            </w:tcBorders>
            <w:shd w:val="clear" w:color="99CC00" w:fill="auto"/>
            <w:vAlign w:val="center"/>
            <w:hideMark/>
          </w:tcPr>
          <w:p w:rsidR="007E4ACA" w:rsidRPr="00700E68" w:rsidRDefault="002178E5"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A</w:t>
            </w:r>
            <w:r w:rsidR="007E4ACA" w:rsidRPr="00700E68">
              <w:rPr>
                <w:rFonts w:ascii="Arial" w:hAnsi="Arial" w:cs="Arial"/>
                <w:snapToGrid/>
                <w:sz w:val="18"/>
                <w:szCs w:val="18"/>
                <w:lang w:val="es-CO" w:eastAsia="es-CO"/>
              </w:rPr>
              <w:t>vales</w:t>
            </w:r>
          </w:p>
        </w:tc>
        <w:tc>
          <w:tcPr>
            <w:tcW w:w="1131" w:type="dxa"/>
            <w:tcBorders>
              <w:top w:val="nil"/>
              <w:left w:val="nil"/>
              <w:bottom w:val="single" w:sz="4" w:space="0" w:color="auto"/>
              <w:right w:val="single" w:sz="4" w:space="0" w:color="auto"/>
            </w:tcBorders>
            <w:shd w:val="clear" w:color="99CC00" w:fill="auto"/>
            <w:noWrap/>
            <w:vAlign w:val="bottom"/>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100%</w:t>
            </w:r>
          </w:p>
        </w:tc>
        <w:tc>
          <w:tcPr>
            <w:tcW w:w="1231" w:type="dxa"/>
            <w:tcBorders>
              <w:top w:val="nil"/>
              <w:left w:val="nil"/>
              <w:bottom w:val="single" w:sz="4" w:space="0" w:color="auto"/>
              <w:right w:val="single" w:sz="4" w:space="0" w:color="auto"/>
            </w:tcBorders>
            <w:shd w:val="clear" w:color="99CC00" w:fill="auto"/>
            <w:noWrap/>
            <w:vAlign w:val="bottom"/>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100%</w:t>
            </w:r>
          </w:p>
        </w:tc>
      </w:tr>
      <w:tr w:rsidR="007E4ACA" w:rsidRPr="00700E68" w:rsidTr="00507312">
        <w:trPr>
          <w:trHeight w:val="11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7E4ACA" w:rsidRPr="00700E68" w:rsidRDefault="007E4ACA" w:rsidP="00507312">
            <w:pP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7E4ACA" w:rsidRPr="00700E68" w:rsidRDefault="00CD4EF0" w:rsidP="00A751EF">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325</w:t>
            </w:r>
          </w:p>
        </w:tc>
        <w:tc>
          <w:tcPr>
            <w:tcW w:w="5116" w:type="dxa"/>
            <w:tcBorders>
              <w:top w:val="nil"/>
              <w:left w:val="nil"/>
              <w:bottom w:val="single" w:sz="4" w:space="0" w:color="auto"/>
              <w:right w:val="single" w:sz="4" w:space="0" w:color="auto"/>
            </w:tcBorders>
            <w:shd w:val="clear" w:color="99CC00" w:fill="auto"/>
            <w:vAlign w:val="center"/>
            <w:hideMark/>
          </w:tcPr>
          <w:p w:rsidR="007E4ACA" w:rsidRPr="00700E68" w:rsidRDefault="00776D27" w:rsidP="00507312">
            <w:pPr>
              <w:jc w:val="both"/>
              <w:rPr>
                <w:rFonts w:ascii="Arial" w:hAnsi="Arial" w:cs="Arial"/>
                <w:snapToGrid/>
                <w:sz w:val="18"/>
                <w:szCs w:val="18"/>
                <w:lang w:val="es-CO" w:eastAsia="es-CO"/>
              </w:rPr>
            </w:pPr>
            <w:r w:rsidRPr="00700E68">
              <w:rPr>
                <w:rFonts w:ascii="Arial" w:hAnsi="Arial" w:cs="Arial"/>
                <w:snapToGrid/>
                <w:sz w:val="18"/>
                <w:szCs w:val="18"/>
                <w:lang w:val="es-CO" w:eastAsia="es-CO"/>
              </w:rPr>
              <w:t>Los mecanismos de seguridad otorgados por el originador en procesos de titularización al patrimonio autónomo, mientras se mantengan en el balance del originador. (Sustitución de la cartera, contratos de apertura de crédito, aval del originador, avales o garantías por instituciones financieras y aseguradoras y seguro de crédito).</w:t>
            </w:r>
          </w:p>
        </w:tc>
        <w:tc>
          <w:tcPr>
            <w:tcW w:w="1131" w:type="dxa"/>
            <w:tcBorders>
              <w:top w:val="nil"/>
              <w:left w:val="nil"/>
              <w:bottom w:val="single" w:sz="4" w:space="0" w:color="auto"/>
              <w:right w:val="single" w:sz="4" w:space="0" w:color="auto"/>
            </w:tcBorders>
            <w:shd w:val="clear" w:color="99CC00" w:fill="auto"/>
            <w:noWrap/>
            <w:vAlign w:val="center"/>
            <w:hideMark/>
          </w:tcPr>
          <w:p w:rsidR="007E4ACA" w:rsidRPr="00700E68" w:rsidRDefault="00556143"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No aplica</w:t>
            </w:r>
          </w:p>
        </w:tc>
        <w:tc>
          <w:tcPr>
            <w:tcW w:w="12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100%</w:t>
            </w:r>
          </w:p>
        </w:tc>
      </w:tr>
      <w:tr w:rsidR="007E4ACA" w:rsidRPr="00700E68" w:rsidTr="00507312">
        <w:trPr>
          <w:trHeight w:val="11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7E4ACA" w:rsidRPr="00700E68" w:rsidRDefault="00CD4EF0"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325</w:t>
            </w:r>
          </w:p>
        </w:tc>
        <w:tc>
          <w:tcPr>
            <w:tcW w:w="5116" w:type="dxa"/>
            <w:tcBorders>
              <w:top w:val="nil"/>
              <w:left w:val="nil"/>
              <w:bottom w:val="single" w:sz="4" w:space="0" w:color="auto"/>
              <w:right w:val="single" w:sz="4" w:space="0" w:color="auto"/>
            </w:tcBorders>
            <w:shd w:val="clear" w:color="99CC00" w:fill="auto"/>
            <w:vAlign w:val="center"/>
            <w:hideMark/>
          </w:tcPr>
          <w:p w:rsidR="007E4ACA"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Los mecanismos de seguridad otorgados por el originador en procesos de titularización al patrimonio autónomo, mientras se mantengan en el balance del originador. (Sustitución de la cartera, contratos de apertura de crédito, aval del originador, avales o garantías por instituciones financieras y aseguradoras y seguro de crédito).</w:t>
            </w:r>
          </w:p>
        </w:tc>
        <w:tc>
          <w:tcPr>
            <w:tcW w:w="1131" w:type="dxa"/>
            <w:tcBorders>
              <w:top w:val="nil"/>
              <w:left w:val="nil"/>
              <w:bottom w:val="single" w:sz="4" w:space="0" w:color="auto"/>
              <w:right w:val="single" w:sz="4" w:space="0" w:color="auto"/>
            </w:tcBorders>
            <w:shd w:val="clear" w:color="99CC00" w:fill="auto"/>
            <w:noWrap/>
            <w:vAlign w:val="center"/>
            <w:hideMark/>
          </w:tcPr>
          <w:p w:rsidR="007E4ACA" w:rsidRPr="00700E68" w:rsidRDefault="00556143"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No aplica</w:t>
            </w:r>
          </w:p>
        </w:tc>
        <w:tc>
          <w:tcPr>
            <w:tcW w:w="12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150%</w:t>
            </w:r>
          </w:p>
        </w:tc>
      </w:tr>
      <w:tr w:rsidR="007E4ACA" w:rsidRPr="00700E68" w:rsidTr="00507312">
        <w:trPr>
          <w:trHeight w:val="450"/>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270</w:t>
            </w:r>
          </w:p>
        </w:tc>
        <w:tc>
          <w:tcPr>
            <w:tcW w:w="5116" w:type="dxa"/>
            <w:tcBorders>
              <w:top w:val="nil"/>
              <w:left w:val="nil"/>
              <w:bottom w:val="single" w:sz="4" w:space="0" w:color="auto"/>
              <w:right w:val="single" w:sz="4" w:space="0" w:color="auto"/>
            </w:tcBorders>
            <w:shd w:val="clear" w:color="99CC00" w:fill="auto"/>
            <w:vAlign w:val="center"/>
            <w:hideMark/>
          </w:tcPr>
          <w:p w:rsidR="007E4ACA" w:rsidRPr="00700E68" w:rsidRDefault="007E4ACA"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Garantías bancarias excepto las garantías de cumplimiento otorgadas en licitaciones públicas o privadas, procesos administrativos o judiciales.</w:t>
            </w:r>
          </w:p>
        </w:tc>
        <w:tc>
          <w:tcPr>
            <w:tcW w:w="11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100%</w:t>
            </w:r>
          </w:p>
        </w:tc>
        <w:tc>
          <w:tcPr>
            <w:tcW w:w="12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100%</w:t>
            </w:r>
          </w:p>
        </w:tc>
      </w:tr>
      <w:tr w:rsidR="007E4ACA" w:rsidRPr="00700E68" w:rsidTr="00507312">
        <w:trPr>
          <w:trHeight w:val="450"/>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275</w:t>
            </w:r>
          </w:p>
        </w:tc>
        <w:tc>
          <w:tcPr>
            <w:tcW w:w="5116" w:type="dxa"/>
            <w:tcBorders>
              <w:top w:val="nil"/>
              <w:left w:val="nil"/>
              <w:bottom w:val="single" w:sz="4" w:space="0" w:color="auto"/>
              <w:right w:val="single" w:sz="4" w:space="0" w:color="auto"/>
            </w:tcBorders>
            <w:shd w:val="clear" w:color="99CC00" w:fill="auto"/>
            <w:vAlign w:val="center"/>
            <w:hideMark/>
          </w:tcPr>
          <w:p w:rsidR="007E4ACA" w:rsidRPr="00700E68" w:rsidRDefault="00776D27"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Garantías de cumplimiento otorgadas en licitaciones públicas o privadas, procesos administrativos o judiciales.</w:t>
            </w:r>
          </w:p>
        </w:tc>
        <w:tc>
          <w:tcPr>
            <w:tcW w:w="11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20%</w:t>
            </w:r>
          </w:p>
        </w:tc>
        <w:tc>
          <w:tcPr>
            <w:tcW w:w="12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100%</w:t>
            </w:r>
          </w:p>
        </w:tc>
      </w:tr>
      <w:tr w:rsidR="007E4ACA" w:rsidRPr="00700E68" w:rsidTr="00507312">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250</w:t>
            </w:r>
          </w:p>
        </w:tc>
        <w:tc>
          <w:tcPr>
            <w:tcW w:w="5116" w:type="dxa"/>
            <w:tcBorders>
              <w:top w:val="nil"/>
              <w:left w:val="nil"/>
              <w:bottom w:val="single" w:sz="4" w:space="0" w:color="auto"/>
              <w:right w:val="single" w:sz="4" w:space="0" w:color="auto"/>
            </w:tcBorders>
            <w:shd w:val="clear" w:color="99CC00" w:fill="auto"/>
            <w:vAlign w:val="center"/>
            <w:hideMark/>
          </w:tcPr>
          <w:p w:rsidR="007E4ACA"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Cartas de crédito irrevocables.</w:t>
            </w:r>
          </w:p>
        </w:tc>
        <w:tc>
          <w:tcPr>
            <w:tcW w:w="11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100%</w:t>
            </w:r>
          </w:p>
        </w:tc>
        <w:tc>
          <w:tcPr>
            <w:tcW w:w="12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100%</w:t>
            </w:r>
          </w:p>
        </w:tc>
      </w:tr>
      <w:tr w:rsidR="007E4ACA" w:rsidRPr="00700E68" w:rsidTr="00507312">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7E4ACA" w:rsidRPr="00700E68" w:rsidRDefault="009E3550" w:rsidP="00FD52A1">
            <w:pPr>
              <w:jc w:val="center"/>
              <w:rPr>
                <w:rFonts w:ascii="Arial" w:hAnsi="Arial" w:cs="Arial"/>
                <w:snapToGrid/>
                <w:sz w:val="18"/>
                <w:szCs w:val="18"/>
                <w:lang w:val="es-CO" w:eastAsia="es-CO"/>
              </w:rPr>
            </w:pPr>
            <w:r w:rsidRPr="00700E68">
              <w:rPr>
                <w:rFonts w:ascii="Arial" w:hAnsi="Arial" w:cs="Arial"/>
                <w:b/>
                <w:noProof/>
                <w:snapToGrid/>
                <w:sz w:val="18"/>
                <w:szCs w:val="18"/>
                <w:lang w:val="es-CO" w:eastAsia="es-CO"/>
              </w:rPr>
              <w:lastRenderedPageBreak/>
              <mc:AlternateContent>
                <mc:Choice Requires="wps">
                  <w:drawing>
                    <wp:anchor distT="0" distB="0" distL="114300" distR="114300" simplePos="0" relativeHeight="251735040" behindDoc="0" locked="0" layoutInCell="1" allowOverlap="1" wp14:anchorId="3C225077" wp14:editId="0B75BC9A">
                      <wp:simplePos x="0" y="0"/>
                      <wp:positionH relativeFrom="column">
                        <wp:posOffset>-107950</wp:posOffset>
                      </wp:positionH>
                      <wp:positionV relativeFrom="paragraph">
                        <wp:posOffset>-287020</wp:posOffset>
                      </wp:positionV>
                      <wp:extent cx="0" cy="9290050"/>
                      <wp:effectExtent l="0" t="0" r="19050" b="25400"/>
                      <wp:wrapNone/>
                      <wp:docPr id="26" name="26 Conector recto"/>
                      <wp:cNvGraphicFramePr/>
                      <a:graphic xmlns:a="http://schemas.openxmlformats.org/drawingml/2006/main">
                        <a:graphicData uri="http://schemas.microsoft.com/office/word/2010/wordprocessingShape">
                          <wps:wsp>
                            <wps:cNvCnPr/>
                            <wps:spPr>
                              <a:xfrm>
                                <a:off x="0" y="0"/>
                                <a:ext cx="0" cy="9290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6 Conector recto"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2.6pt" to="-8.5pt,7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" strokecolor="black [3213]"/>
                  </w:pict>
                </mc:Fallback>
              </mc:AlternateContent>
            </w:r>
            <w:r w:rsidR="007E4ACA"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255</w:t>
            </w:r>
          </w:p>
        </w:tc>
        <w:tc>
          <w:tcPr>
            <w:tcW w:w="5116" w:type="dxa"/>
            <w:tcBorders>
              <w:top w:val="nil"/>
              <w:left w:val="nil"/>
              <w:bottom w:val="single" w:sz="4" w:space="0" w:color="auto"/>
              <w:right w:val="single" w:sz="4" w:space="0" w:color="auto"/>
            </w:tcBorders>
            <w:shd w:val="clear" w:color="99CC00" w:fill="auto"/>
            <w:vAlign w:val="center"/>
            <w:hideMark/>
          </w:tcPr>
          <w:p w:rsidR="007E4ACA" w:rsidRPr="00700E68" w:rsidRDefault="007E4ACA"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Cartas de crédito revocables.</w:t>
            </w:r>
          </w:p>
        </w:tc>
        <w:tc>
          <w:tcPr>
            <w:tcW w:w="11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20%</w:t>
            </w:r>
          </w:p>
        </w:tc>
        <w:tc>
          <w:tcPr>
            <w:tcW w:w="12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100%</w:t>
            </w:r>
          </w:p>
        </w:tc>
      </w:tr>
      <w:tr w:rsidR="007E4ACA" w:rsidRPr="00700E68" w:rsidTr="00507312">
        <w:trPr>
          <w:trHeight w:val="450"/>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532447" w:rsidRPr="00700E68" w:rsidRDefault="00532447" w:rsidP="00FD52A1">
            <w:pPr>
              <w:jc w:val="center"/>
              <w:rPr>
                <w:rFonts w:ascii="Arial" w:hAnsi="Arial" w:cs="Arial"/>
                <w:snapToGrid/>
                <w:sz w:val="18"/>
                <w:szCs w:val="18"/>
                <w:lang w:val="es-CO" w:eastAsia="es-CO"/>
              </w:rPr>
            </w:pPr>
          </w:p>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195</w:t>
            </w:r>
          </w:p>
        </w:tc>
        <w:tc>
          <w:tcPr>
            <w:tcW w:w="5116" w:type="dxa"/>
            <w:tcBorders>
              <w:top w:val="nil"/>
              <w:left w:val="nil"/>
              <w:bottom w:val="single" w:sz="4" w:space="0" w:color="auto"/>
              <w:right w:val="single" w:sz="4" w:space="0" w:color="auto"/>
            </w:tcBorders>
            <w:shd w:val="clear" w:color="99CC00" w:fill="auto"/>
            <w:vAlign w:val="center"/>
            <w:hideMark/>
          </w:tcPr>
          <w:p w:rsidR="007E4ACA" w:rsidRPr="00700E68" w:rsidRDefault="00C26983"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aprobados no desembolsados para vivienda, incluidos constructores.</w:t>
            </w:r>
          </w:p>
        </w:tc>
        <w:tc>
          <w:tcPr>
            <w:tcW w:w="11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20%</w:t>
            </w:r>
          </w:p>
        </w:tc>
        <w:tc>
          <w:tcPr>
            <w:tcW w:w="12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50%</w:t>
            </w:r>
          </w:p>
        </w:tc>
      </w:tr>
      <w:tr w:rsidR="007E4ACA" w:rsidRPr="00700E68" w:rsidTr="00507312">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200</w:t>
            </w:r>
          </w:p>
        </w:tc>
        <w:tc>
          <w:tcPr>
            <w:tcW w:w="5116" w:type="dxa"/>
            <w:tcBorders>
              <w:top w:val="nil"/>
              <w:left w:val="nil"/>
              <w:bottom w:val="single" w:sz="4" w:space="0" w:color="auto"/>
              <w:right w:val="single" w:sz="4" w:space="0" w:color="auto"/>
            </w:tcBorders>
            <w:shd w:val="clear" w:color="99CC00" w:fill="auto"/>
            <w:vAlign w:val="center"/>
            <w:hideMark/>
          </w:tcPr>
          <w:p w:rsidR="007E4ACA" w:rsidRPr="00700E68" w:rsidRDefault="00C26983" w:rsidP="00C26983">
            <w:pPr>
              <w:jc w:val="both"/>
              <w:rPr>
                <w:rFonts w:ascii="Arial" w:hAnsi="Arial" w:cs="Arial"/>
                <w:snapToGrid/>
                <w:sz w:val="18"/>
                <w:szCs w:val="18"/>
                <w:lang w:val="es-CO" w:eastAsia="es-CO"/>
              </w:rPr>
            </w:pPr>
            <w:r w:rsidRPr="00700E68">
              <w:rPr>
                <w:rFonts w:ascii="Arial" w:hAnsi="Arial" w:cs="Arial"/>
                <w:snapToGrid/>
                <w:sz w:val="18"/>
                <w:szCs w:val="18"/>
                <w:lang w:val="es-CO" w:eastAsia="es-CO"/>
              </w:rPr>
              <w:t>Créditos aprobados no desembolsados distintos de vivienda.</w:t>
            </w:r>
          </w:p>
        </w:tc>
        <w:tc>
          <w:tcPr>
            <w:tcW w:w="11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20%</w:t>
            </w:r>
          </w:p>
        </w:tc>
        <w:tc>
          <w:tcPr>
            <w:tcW w:w="12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100%</w:t>
            </w:r>
          </w:p>
        </w:tc>
      </w:tr>
      <w:tr w:rsidR="007E4ACA" w:rsidRPr="00700E68" w:rsidTr="00507312">
        <w:trPr>
          <w:trHeight w:val="450"/>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260</w:t>
            </w:r>
          </w:p>
        </w:tc>
        <w:tc>
          <w:tcPr>
            <w:tcW w:w="5116" w:type="dxa"/>
            <w:tcBorders>
              <w:top w:val="nil"/>
              <w:left w:val="nil"/>
              <w:bottom w:val="single" w:sz="4" w:space="0" w:color="auto"/>
              <w:right w:val="single" w:sz="4" w:space="0" w:color="auto"/>
            </w:tcBorders>
            <w:shd w:val="clear" w:color="99CC00" w:fill="auto"/>
            <w:vAlign w:val="center"/>
            <w:hideMark/>
          </w:tcPr>
          <w:p w:rsidR="007E4ACA" w:rsidRPr="00700E68" w:rsidRDefault="007E4ACA"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Contratos de apertura de créditos irrevocables incluyendo las tarjetas de crédito irrevocables.</w:t>
            </w:r>
          </w:p>
        </w:tc>
        <w:tc>
          <w:tcPr>
            <w:tcW w:w="11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100%</w:t>
            </w:r>
          </w:p>
        </w:tc>
        <w:tc>
          <w:tcPr>
            <w:tcW w:w="12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100%</w:t>
            </w:r>
          </w:p>
        </w:tc>
      </w:tr>
      <w:tr w:rsidR="007E4ACA" w:rsidRPr="00700E68" w:rsidTr="00507312">
        <w:trPr>
          <w:trHeight w:val="450"/>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F.110</w:t>
            </w:r>
          </w:p>
        </w:tc>
        <w:tc>
          <w:tcPr>
            <w:tcW w:w="106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265</w:t>
            </w:r>
          </w:p>
        </w:tc>
        <w:tc>
          <w:tcPr>
            <w:tcW w:w="5116" w:type="dxa"/>
            <w:tcBorders>
              <w:top w:val="nil"/>
              <w:left w:val="nil"/>
              <w:bottom w:val="single" w:sz="4" w:space="0" w:color="auto"/>
              <w:right w:val="single" w:sz="4" w:space="0" w:color="auto"/>
            </w:tcBorders>
            <w:shd w:val="clear" w:color="99CC00" w:fill="auto"/>
            <w:vAlign w:val="center"/>
            <w:hideMark/>
          </w:tcPr>
          <w:p w:rsidR="007E4ACA" w:rsidRPr="00700E68" w:rsidRDefault="007E4ACA"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Contratos de apertura de créditos revocables incluyendo las tarjetas de crédito revocables.</w:t>
            </w:r>
          </w:p>
        </w:tc>
        <w:tc>
          <w:tcPr>
            <w:tcW w:w="11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20%</w:t>
            </w:r>
          </w:p>
        </w:tc>
        <w:tc>
          <w:tcPr>
            <w:tcW w:w="12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100%</w:t>
            </w:r>
          </w:p>
        </w:tc>
      </w:tr>
      <w:tr w:rsidR="007E4ACA" w:rsidRPr="00700E68" w:rsidTr="00507312">
        <w:trPr>
          <w:trHeight w:val="225"/>
        </w:trPr>
        <w:tc>
          <w:tcPr>
            <w:tcW w:w="821" w:type="dxa"/>
            <w:tcBorders>
              <w:top w:val="nil"/>
              <w:left w:val="single" w:sz="4" w:space="0" w:color="auto"/>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w:t>
            </w:r>
          </w:p>
        </w:tc>
        <w:tc>
          <w:tcPr>
            <w:tcW w:w="106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xml:space="preserve">+  </w:t>
            </w:r>
          </w:p>
        </w:tc>
        <w:tc>
          <w:tcPr>
            <w:tcW w:w="5116" w:type="dxa"/>
            <w:tcBorders>
              <w:top w:val="nil"/>
              <w:left w:val="nil"/>
              <w:bottom w:val="single" w:sz="4" w:space="0" w:color="auto"/>
              <w:right w:val="single" w:sz="4" w:space="0" w:color="auto"/>
            </w:tcBorders>
            <w:shd w:val="clear" w:color="99CC00" w:fill="auto"/>
            <w:vAlign w:val="center"/>
            <w:hideMark/>
          </w:tcPr>
          <w:p w:rsidR="007E4ACA" w:rsidRPr="00700E68" w:rsidRDefault="007E4ACA"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Otras contingencias</w:t>
            </w:r>
            <w:r w:rsidR="00C26983" w:rsidRPr="00700E68">
              <w:rPr>
                <w:rFonts w:ascii="Arial" w:hAnsi="Arial" w:cs="Arial"/>
                <w:snapToGrid/>
                <w:sz w:val="18"/>
                <w:szCs w:val="18"/>
                <w:lang w:val="es-CO" w:eastAsia="es-CO"/>
              </w:rPr>
              <w:t>.</w:t>
            </w:r>
          </w:p>
        </w:tc>
        <w:tc>
          <w:tcPr>
            <w:tcW w:w="11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0%</w:t>
            </w:r>
          </w:p>
        </w:tc>
        <w:tc>
          <w:tcPr>
            <w:tcW w:w="12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0%</w:t>
            </w:r>
          </w:p>
        </w:tc>
      </w:tr>
      <w:tr w:rsidR="007E4ACA" w:rsidRPr="00700E68" w:rsidTr="00507312">
        <w:trPr>
          <w:trHeight w:val="200"/>
        </w:trPr>
        <w:tc>
          <w:tcPr>
            <w:tcW w:w="821" w:type="dxa"/>
            <w:tcBorders>
              <w:top w:val="nil"/>
              <w:left w:val="single" w:sz="4" w:space="0" w:color="auto"/>
              <w:bottom w:val="single" w:sz="4" w:space="0" w:color="auto"/>
              <w:right w:val="single" w:sz="4" w:space="0" w:color="auto"/>
            </w:tcBorders>
            <w:shd w:val="clear" w:color="99CC00" w:fill="auto"/>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PUC clase 7</w:t>
            </w:r>
          </w:p>
        </w:tc>
        <w:tc>
          <w:tcPr>
            <w:tcW w:w="106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FD52A1">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 xml:space="preserve">+  </w:t>
            </w:r>
          </w:p>
        </w:tc>
        <w:tc>
          <w:tcPr>
            <w:tcW w:w="5116" w:type="dxa"/>
            <w:tcBorders>
              <w:top w:val="nil"/>
              <w:left w:val="nil"/>
              <w:bottom w:val="single" w:sz="4" w:space="0" w:color="auto"/>
              <w:right w:val="single" w:sz="4" w:space="0" w:color="auto"/>
            </w:tcBorders>
            <w:shd w:val="clear" w:color="99CC00" w:fill="auto"/>
            <w:vAlign w:val="center"/>
            <w:hideMark/>
          </w:tcPr>
          <w:p w:rsidR="007E4ACA" w:rsidRPr="00700E68" w:rsidRDefault="007E4ACA" w:rsidP="00FD52A1">
            <w:pPr>
              <w:jc w:val="both"/>
              <w:rPr>
                <w:rFonts w:ascii="Arial" w:hAnsi="Arial" w:cs="Arial"/>
                <w:snapToGrid/>
                <w:sz w:val="18"/>
                <w:szCs w:val="18"/>
                <w:lang w:val="es-CO" w:eastAsia="es-CO"/>
              </w:rPr>
            </w:pPr>
            <w:r w:rsidRPr="00700E68">
              <w:rPr>
                <w:rFonts w:ascii="Arial" w:hAnsi="Arial" w:cs="Arial"/>
                <w:snapToGrid/>
                <w:sz w:val="18"/>
                <w:szCs w:val="18"/>
                <w:lang w:val="es-CO" w:eastAsia="es-CO"/>
              </w:rPr>
              <w:t>Negocios y encargos fiduciarios</w:t>
            </w:r>
            <w:r w:rsidR="00C26983" w:rsidRPr="00700E68">
              <w:rPr>
                <w:rFonts w:ascii="Arial" w:hAnsi="Arial" w:cs="Arial"/>
                <w:snapToGrid/>
                <w:sz w:val="18"/>
                <w:szCs w:val="18"/>
                <w:lang w:val="es-CO" w:eastAsia="es-CO"/>
              </w:rPr>
              <w:t>.</w:t>
            </w:r>
          </w:p>
        </w:tc>
        <w:tc>
          <w:tcPr>
            <w:tcW w:w="11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0%</w:t>
            </w:r>
          </w:p>
        </w:tc>
        <w:tc>
          <w:tcPr>
            <w:tcW w:w="1231" w:type="dxa"/>
            <w:tcBorders>
              <w:top w:val="nil"/>
              <w:left w:val="nil"/>
              <w:bottom w:val="single" w:sz="4" w:space="0" w:color="auto"/>
              <w:right w:val="single" w:sz="4" w:space="0" w:color="auto"/>
            </w:tcBorders>
            <w:shd w:val="clear" w:color="99CC00" w:fill="auto"/>
            <w:noWrap/>
            <w:vAlign w:val="center"/>
            <w:hideMark/>
          </w:tcPr>
          <w:p w:rsidR="007E4ACA" w:rsidRPr="00700E68" w:rsidRDefault="007E4ACA" w:rsidP="00507312">
            <w:pPr>
              <w:jc w:val="center"/>
              <w:rPr>
                <w:rFonts w:ascii="Arial" w:hAnsi="Arial" w:cs="Arial"/>
                <w:snapToGrid/>
                <w:sz w:val="18"/>
                <w:szCs w:val="18"/>
                <w:lang w:val="es-CO" w:eastAsia="es-CO"/>
              </w:rPr>
            </w:pPr>
            <w:r w:rsidRPr="00700E68">
              <w:rPr>
                <w:rFonts w:ascii="Arial" w:hAnsi="Arial" w:cs="Arial"/>
                <w:snapToGrid/>
                <w:sz w:val="18"/>
                <w:szCs w:val="18"/>
                <w:lang w:val="es-CO" w:eastAsia="es-CO"/>
              </w:rPr>
              <w:t>0%</w:t>
            </w:r>
          </w:p>
        </w:tc>
      </w:tr>
    </w:tbl>
    <w:p w:rsidR="00FD60E6" w:rsidRPr="00700E68" w:rsidRDefault="00FD60E6" w:rsidP="00FD60E6">
      <w:pPr>
        <w:pStyle w:val="Prrafodelista"/>
        <w:jc w:val="both"/>
        <w:rPr>
          <w:rFonts w:ascii="Arial" w:hAnsi="Arial" w:cs="Arial"/>
          <w:b/>
          <w:sz w:val="18"/>
          <w:szCs w:val="18"/>
        </w:rPr>
      </w:pPr>
    </w:p>
    <w:p w:rsidR="00C4172B" w:rsidRPr="00700E68" w:rsidRDefault="00946A63" w:rsidP="009E3550">
      <w:pPr>
        <w:pStyle w:val="Prrafodelista"/>
        <w:numPr>
          <w:ilvl w:val="2"/>
          <w:numId w:val="21"/>
        </w:numPr>
        <w:ind w:left="851" w:hanging="851"/>
        <w:jc w:val="both"/>
        <w:rPr>
          <w:rFonts w:ascii="Arial" w:hAnsi="Arial" w:cs="Arial"/>
          <w:b/>
          <w:sz w:val="18"/>
          <w:szCs w:val="18"/>
        </w:rPr>
      </w:pPr>
      <w:r w:rsidRPr="00700E68">
        <w:rPr>
          <w:rFonts w:ascii="Arial" w:hAnsi="Arial" w:cs="Arial"/>
          <w:b/>
          <w:sz w:val="18"/>
          <w:szCs w:val="18"/>
        </w:rPr>
        <w:t>Ponderación de</w:t>
      </w:r>
      <w:r w:rsidR="00C4172B" w:rsidRPr="00700E68">
        <w:rPr>
          <w:rFonts w:ascii="Arial" w:hAnsi="Arial" w:cs="Arial"/>
          <w:b/>
          <w:sz w:val="18"/>
          <w:szCs w:val="18"/>
        </w:rPr>
        <w:t xml:space="preserve"> los instr</w:t>
      </w:r>
      <w:r w:rsidRPr="00700E68">
        <w:rPr>
          <w:rFonts w:ascii="Arial" w:hAnsi="Arial" w:cs="Arial"/>
          <w:b/>
          <w:sz w:val="18"/>
          <w:szCs w:val="18"/>
        </w:rPr>
        <w:t>umentos financieros derivados en el</w:t>
      </w:r>
      <w:r w:rsidR="00C4172B" w:rsidRPr="00700E68">
        <w:rPr>
          <w:rFonts w:ascii="Arial" w:hAnsi="Arial" w:cs="Arial"/>
          <w:b/>
          <w:sz w:val="18"/>
          <w:szCs w:val="18"/>
        </w:rPr>
        <w:t xml:space="preserve"> APNR</w:t>
      </w:r>
    </w:p>
    <w:p w:rsidR="00C4172B" w:rsidRPr="00700E68" w:rsidRDefault="00C4172B" w:rsidP="003105FE">
      <w:pPr>
        <w:jc w:val="both"/>
        <w:rPr>
          <w:rFonts w:ascii="Arial" w:hAnsi="Arial" w:cs="Arial"/>
          <w:sz w:val="18"/>
          <w:szCs w:val="18"/>
        </w:rPr>
      </w:pPr>
    </w:p>
    <w:p w:rsidR="008222BC" w:rsidRPr="00700E68" w:rsidRDefault="008222BC" w:rsidP="00FD60E6">
      <w:pPr>
        <w:jc w:val="both"/>
        <w:rPr>
          <w:rFonts w:ascii="Arial" w:hAnsi="Arial" w:cs="Arial"/>
          <w:sz w:val="18"/>
          <w:szCs w:val="18"/>
        </w:rPr>
      </w:pPr>
      <w:r w:rsidRPr="00700E68">
        <w:rPr>
          <w:rFonts w:ascii="Arial" w:hAnsi="Arial" w:cs="Arial"/>
          <w:sz w:val="18"/>
          <w:szCs w:val="18"/>
        </w:rPr>
        <w:t>Independientemente de si se trata de activos o pasivos del balance, para las operaciones con instrumentos</w:t>
      </w:r>
      <w:r w:rsidR="00B46968" w:rsidRPr="00700E68">
        <w:rPr>
          <w:rFonts w:ascii="Arial" w:hAnsi="Arial" w:cs="Arial"/>
          <w:sz w:val="18"/>
          <w:szCs w:val="18"/>
        </w:rPr>
        <w:t xml:space="preserve"> financieros derivados se debe</w:t>
      </w:r>
      <w:r w:rsidRPr="00700E68">
        <w:rPr>
          <w:rFonts w:ascii="Arial" w:hAnsi="Arial" w:cs="Arial"/>
          <w:sz w:val="18"/>
          <w:szCs w:val="18"/>
        </w:rPr>
        <w:t xml:space="preserve"> multiplicar la Exposición Crediticia (EC) por el Factor de Ponderación (FP) que corresponda. En este sentido, dichas operaciones afec</w:t>
      </w:r>
      <w:r w:rsidR="00B46968" w:rsidRPr="00700E68">
        <w:rPr>
          <w:rFonts w:ascii="Arial" w:hAnsi="Arial" w:cs="Arial"/>
          <w:sz w:val="18"/>
          <w:szCs w:val="18"/>
        </w:rPr>
        <w:t>ta</w:t>
      </w:r>
      <w:r w:rsidRPr="00700E68">
        <w:rPr>
          <w:rFonts w:ascii="Arial" w:hAnsi="Arial" w:cs="Arial"/>
          <w:sz w:val="18"/>
          <w:szCs w:val="18"/>
        </w:rPr>
        <w:t xml:space="preserve">n los activos ponderados por nivel de riesgo, de acuerdo con su exposición crediticia y dependiendo de la contraparte que se trate. </w:t>
      </w:r>
    </w:p>
    <w:p w:rsidR="008222BC" w:rsidRPr="00700E68" w:rsidRDefault="008222BC" w:rsidP="00FD60E6">
      <w:pPr>
        <w:jc w:val="both"/>
        <w:rPr>
          <w:rFonts w:ascii="Arial" w:hAnsi="Arial" w:cs="Arial"/>
          <w:sz w:val="18"/>
          <w:szCs w:val="18"/>
        </w:rPr>
      </w:pPr>
    </w:p>
    <w:p w:rsidR="008222BC" w:rsidRPr="00700E68" w:rsidRDefault="008222BC" w:rsidP="00FD60E6">
      <w:pPr>
        <w:jc w:val="both"/>
        <w:rPr>
          <w:rFonts w:ascii="Arial" w:hAnsi="Arial" w:cs="Arial"/>
          <w:sz w:val="18"/>
          <w:szCs w:val="18"/>
        </w:rPr>
      </w:pPr>
      <w:r w:rsidRPr="00700E68">
        <w:rPr>
          <w:rFonts w:ascii="Arial" w:hAnsi="Arial" w:cs="Arial"/>
          <w:sz w:val="18"/>
          <w:szCs w:val="18"/>
        </w:rPr>
        <w:t xml:space="preserve">Para </w:t>
      </w:r>
      <w:r w:rsidR="00574A6F" w:rsidRPr="00700E68">
        <w:rPr>
          <w:rFonts w:ascii="Arial" w:hAnsi="Arial" w:cs="Arial"/>
          <w:sz w:val="18"/>
          <w:szCs w:val="18"/>
        </w:rPr>
        <w:t>el cálculo de</w:t>
      </w:r>
      <w:r w:rsidRPr="00700E68">
        <w:rPr>
          <w:rFonts w:ascii="Arial" w:hAnsi="Arial" w:cs="Arial"/>
          <w:sz w:val="18"/>
          <w:szCs w:val="18"/>
        </w:rPr>
        <w:t xml:space="preserve"> la afectación de los activos ponderados por nivel de riesgo se </w:t>
      </w:r>
      <w:r w:rsidR="00E44A21" w:rsidRPr="00700E68">
        <w:rPr>
          <w:rFonts w:ascii="Arial" w:hAnsi="Arial" w:cs="Arial"/>
          <w:sz w:val="18"/>
          <w:szCs w:val="18"/>
        </w:rPr>
        <w:t>debe</w:t>
      </w:r>
      <w:r w:rsidR="00955872" w:rsidRPr="00700E68">
        <w:rPr>
          <w:rFonts w:ascii="Arial" w:hAnsi="Arial" w:cs="Arial"/>
          <w:sz w:val="18"/>
          <w:szCs w:val="18"/>
        </w:rPr>
        <w:t xml:space="preserve"> realizar de la siguiente manera</w:t>
      </w:r>
      <w:r w:rsidRPr="00700E68">
        <w:rPr>
          <w:rFonts w:ascii="Arial" w:hAnsi="Arial" w:cs="Arial"/>
          <w:sz w:val="18"/>
          <w:szCs w:val="18"/>
        </w:rPr>
        <w:t>:</w:t>
      </w:r>
    </w:p>
    <w:p w:rsidR="008222BC" w:rsidRPr="00700E68" w:rsidRDefault="008222BC" w:rsidP="00FD60E6">
      <w:pPr>
        <w:jc w:val="both"/>
        <w:rPr>
          <w:rFonts w:ascii="Arial" w:hAnsi="Arial" w:cs="Arial"/>
          <w:sz w:val="18"/>
          <w:szCs w:val="18"/>
        </w:rPr>
      </w:pPr>
    </w:p>
    <w:p w:rsidR="008222BC" w:rsidRPr="00700E68" w:rsidRDefault="008222BC" w:rsidP="00FD60E6">
      <w:pPr>
        <w:pStyle w:val="Prrafodelista"/>
        <w:numPr>
          <w:ilvl w:val="0"/>
          <w:numId w:val="32"/>
        </w:numPr>
        <w:jc w:val="both"/>
        <w:rPr>
          <w:rFonts w:ascii="Arial" w:hAnsi="Arial" w:cs="Arial"/>
          <w:sz w:val="18"/>
          <w:szCs w:val="18"/>
        </w:rPr>
      </w:pPr>
      <w:r w:rsidRPr="00700E68">
        <w:rPr>
          <w:rFonts w:ascii="Arial" w:hAnsi="Arial" w:cs="Arial"/>
          <w:sz w:val="18"/>
          <w:szCs w:val="18"/>
        </w:rPr>
        <w:t xml:space="preserve">Cálculo de la exposición crediticia: La exposición crediticia de un instrumento financiero derivado se </w:t>
      </w:r>
      <w:r w:rsidR="00E44A21" w:rsidRPr="00700E68">
        <w:rPr>
          <w:rFonts w:ascii="Arial" w:hAnsi="Arial" w:cs="Arial"/>
          <w:sz w:val="18"/>
          <w:szCs w:val="18"/>
        </w:rPr>
        <w:t>debe calcular</w:t>
      </w:r>
      <w:r w:rsidRPr="00700E68">
        <w:rPr>
          <w:rFonts w:ascii="Arial" w:hAnsi="Arial" w:cs="Arial"/>
          <w:sz w:val="18"/>
          <w:szCs w:val="18"/>
        </w:rPr>
        <w:t xml:space="preserve"> según lo establecido en el Anexo 4 del Capítulo XVIII de la CBCF.</w:t>
      </w:r>
    </w:p>
    <w:p w:rsidR="008222BC" w:rsidRPr="00700E68" w:rsidRDefault="008222BC" w:rsidP="00FD60E6">
      <w:pPr>
        <w:jc w:val="both"/>
        <w:rPr>
          <w:rFonts w:ascii="Arial" w:hAnsi="Arial" w:cs="Arial"/>
          <w:sz w:val="18"/>
          <w:szCs w:val="18"/>
        </w:rPr>
      </w:pPr>
    </w:p>
    <w:p w:rsidR="008222BC" w:rsidRPr="00700E68" w:rsidRDefault="008222BC" w:rsidP="00FD60E6">
      <w:pPr>
        <w:pStyle w:val="Prrafodelista"/>
        <w:numPr>
          <w:ilvl w:val="0"/>
          <w:numId w:val="32"/>
        </w:numPr>
        <w:jc w:val="both"/>
        <w:rPr>
          <w:rFonts w:ascii="Arial" w:hAnsi="Arial" w:cs="Arial"/>
          <w:sz w:val="18"/>
          <w:szCs w:val="18"/>
        </w:rPr>
      </w:pPr>
      <w:r w:rsidRPr="00700E68">
        <w:rPr>
          <w:rFonts w:ascii="Arial" w:hAnsi="Arial" w:cs="Arial"/>
          <w:sz w:val="18"/>
          <w:szCs w:val="18"/>
        </w:rPr>
        <w:t xml:space="preserve">Incorporación al cálculo de los activos ponderados por nivel de riesgo: Una vez calculada la </w:t>
      </w:r>
      <w:r w:rsidR="00E44A21" w:rsidRPr="00700E68">
        <w:rPr>
          <w:rFonts w:ascii="Arial" w:hAnsi="Arial" w:cs="Arial"/>
          <w:sz w:val="18"/>
          <w:szCs w:val="18"/>
        </w:rPr>
        <w:t>exposición crediticia, se debe</w:t>
      </w:r>
      <w:r w:rsidRPr="00700E68">
        <w:rPr>
          <w:rFonts w:ascii="Arial" w:hAnsi="Arial" w:cs="Arial"/>
          <w:sz w:val="18"/>
          <w:szCs w:val="18"/>
        </w:rPr>
        <w:t xml:space="preserve"> determinar su contribución a los APNR, de la siguiente manera:</w:t>
      </w:r>
    </w:p>
    <w:p w:rsidR="008222BC" w:rsidRPr="00700E68" w:rsidRDefault="008222BC" w:rsidP="00FD60E6">
      <w:pPr>
        <w:jc w:val="both"/>
        <w:rPr>
          <w:rFonts w:ascii="Arial" w:hAnsi="Arial" w:cs="Arial"/>
          <w:sz w:val="18"/>
          <w:szCs w:val="18"/>
        </w:rPr>
      </w:pPr>
      <w:r w:rsidRPr="00700E68">
        <w:rPr>
          <w:rFonts w:ascii="Arial" w:hAnsi="Arial" w:cs="Arial"/>
          <w:sz w:val="18"/>
          <w:szCs w:val="18"/>
        </w:rPr>
        <w:br/>
      </w:r>
      <m:oMathPara>
        <m:oMath>
          <m:sSub>
            <m:sSubPr>
              <m:ctrlPr>
                <w:rPr>
                  <w:rFonts w:ascii="Cambria Math" w:hAnsi="Cambria Math" w:cs="Arial"/>
                  <w:i/>
                  <w:sz w:val="18"/>
                  <w:szCs w:val="18"/>
                </w:rPr>
              </m:ctrlPr>
            </m:sSubPr>
            <m:e>
              <m:r>
                <w:rPr>
                  <w:rFonts w:ascii="Cambria Math" w:hAnsi="Cambria Math" w:cs="Arial"/>
                  <w:sz w:val="18"/>
                  <w:szCs w:val="18"/>
                </w:rPr>
                <m:t>APNR</m:t>
              </m:r>
            </m:e>
            <m:sub>
              <m:r>
                <w:rPr>
                  <w:rFonts w:ascii="Cambria Math" w:hAnsi="Cambria Math" w:cs="Arial"/>
                  <w:sz w:val="18"/>
                  <w:szCs w:val="18"/>
                </w:rPr>
                <m:t>j</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W</m:t>
              </m:r>
            </m:e>
            <m:sub>
              <m:r>
                <w:rPr>
                  <w:rFonts w:ascii="Cambria Math" w:hAnsi="Cambria Math" w:cs="Arial"/>
                  <w:sz w:val="18"/>
                  <w:szCs w:val="18"/>
                </w:rPr>
                <m:t>j</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EC</m:t>
              </m:r>
            </m:e>
            <m:sub>
              <m:r>
                <w:rPr>
                  <w:rFonts w:ascii="Cambria Math" w:hAnsi="Cambria Math" w:cs="Arial"/>
                  <w:sz w:val="18"/>
                  <w:szCs w:val="18"/>
                </w:rPr>
                <m:t>j</m:t>
              </m:r>
            </m:sub>
          </m:sSub>
        </m:oMath>
      </m:oMathPara>
    </w:p>
    <w:p w:rsidR="008222BC" w:rsidRPr="00700E68" w:rsidRDefault="008222BC" w:rsidP="00FD60E6">
      <w:pPr>
        <w:jc w:val="both"/>
        <w:rPr>
          <w:rFonts w:ascii="Arial" w:hAnsi="Arial" w:cs="Arial"/>
          <w:sz w:val="18"/>
          <w:szCs w:val="18"/>
        </w:rPr>
      </w:pPr>
    </w:p>
    <w:p w:rsidR="008222BC" w:rsidRPr="00700E68" w:rsidRDefault="008222BC" w:rsidP="00FD60E6">
      <w:pPr>
        <w:jc w:val="both"/>
        <w:rPr>
          <w:rFonts w:ascii="Arial" w:hAnsi="Arial" w:cs="Arial"/>
          <w:sz w:val="18"/>
          <w:szCs w:val="18"/>
        </w:rPr>
      </w:pPr>
      <w:r w:rsidRPr="00700E68">
        <w:rPr>
          <w:rFonts w:ascii="Arial" w:hAnsi="Arial" w:cs="Arial"/>
          <w:sz w:val="18"/>
          <w:szCs w:val="18"/>
        </w:rPr>
        <w:t xml:space="preserve">donde </w:t>
      </w:r>
      <m:oMath>
        <m:sSub>
          <m:sSubPr>
            <m:ctrlPr>
              <w:rPr>
                <w:rFonts w:ascii="Cambria Math" w:hAnsi="Cambria Math" w:cs="Arial"/>
                <w:i/>
                <w:sz w:val="18"/>
                <w:szCs w:val="18"/>
              </w:rPr>
            </m:ctrlPr>
          </m:sSubPr>
          <m:e>
            <m:r>
              <w:rPr>
                <w:rFonts w:ascii="Cambria Math" w:hAnsi="Cambria Math" w:cs="Arial"/>
                <w:sz w:val="18"/>
                <w:szCs w:val="18"/>
              </w:rPr>
              <m:t>W</m:t>
            </m:r>
          </m:e>
          <m:sub>
            <m:r>
              <w:rPr>
                <w:rFonts w:ascii="Cambria Math" w:hAnsi="Cambria Math" w:cs="Arial"/>
                <w:sz w:val="18"/>
                <w:szCs w:val="18"/>
              </w:rPr>
              <m:t>j</m:t>
            </m:r>
          </m:sub>
        </m:sSub>
      </m:oMath>
      <w:r w:rsidRPr="00700E68">
        <w:rPr>
          <w:rFonts w:ascii="Arial" w:hAnsi="Arial" w:cs="Arial"/>
          <w:sz w:val="18"/>
          <w:szCs w:val="18"/>
        </w:rPr>
        <w:t xml:space="preserve"> responde al FP asignado según la categoría que corresponda a la contraparte, de acuerdo con lo dispuesto en el artículo 2.1.1.3.2 del Decreto 2555 de 2010.  </w:t>
      </w:r>
    </w:p>
    <w:p w:rsidR="008222BC" w:rsidRPr="00700E68" w:rsidRDefault="008222BC" w:rsidP="00FD60E6">
      <w:pPr>
        <w:jc w:val="both"/>
        <w:rPr>
          <w:rFonts w:ascii="Arial" w:hAnsi="Arial" w:cs="Arial"/>
          <w:sz w:val="18"/>
          <w:szCs w:val="18"/>
        </w:rPr>
      </w:pPr>
    </w:p>
    <w:p w:rsidR="008222BC" w:rsidRPr="00700E68" w:rsidRDefault="008222BC" w:rsidP="00FD60E6">
      <w:pPr>
        <w:jc w:val="both"/>
        <w:rPr>
          <w:rFonts w:ascii="Arial" w:hAnsi="Arial" w:cs="Arial"/>
          <w:sz w:val="18"/>
          <w:szCs w:val="18"/>
        </w:rPr>
      </w:pPr>
      <w:r w:rsidRPr="00700E68">
        <w:rPr>
          <w:rFonts w:ascii="Arial" w:hAnsi="Arial" w:cs="Arial"/>
          <w:sz w:val="18"/>
          <w:szCs w:val="18"/>
        </w:rPr>
        <w:t>Las garantías que se entregan con ocasión de la realización de operaciones con instrumentos financieros derivados, compensadas y liquidadas en una Cámara de Riesgo Central de Contraparte en las cuales dicha Cámara se haya interpuesto como contraparte, deben ponderar al cero por ciento (0%), siempre que se trate de</w:t>
      </w:r>
      <w:r w:rsidR="00AB249D" w:rsidRPr="00700E68">
        <w:rPr>
          <w:rFonts w:ascii="Arial" w:hAnsi="Arial" w:cs="Arial"/>
          <w:sz w:val="18"/>
          <w:szCs w:val="18"/>
        </w:rPr>
        <w:t xml:space="preserve"> títulos</w:t>
      </w:r>
      <w:r w:rsidRPr="00700E68">
        <w:rPr>
          <w:rFonts w:ascii="Arial" w:hAnsi="Arial" w:cs="Arial"/>
          <w:sz w:val="18"/>
          <w:szCs w:val="18"/>
        </w:rPr>
        <w:t xml:space="preserve"> o valores de la Nación, del Banco de la República o emitidos para el cumplimiento de inversiones obligatorias. </w:t>
      </w:r>
    </w:p>
    <w:p w:rsidR="008222BC" w:rsidRPr="00700E68" w:rsidRDefault="008222BC" w:rsidP="00FD60E6">
      <w:pPr>
        <w:jc w:val="both"/>
        <w:rPr>
          <w:rFonts w:ascii="Arial" w:hAnsi="Arial" w:cs="Arial"/>
          <w:sz w:val="18"/>
          <w:szCs w:val="18"/>
        </w:rPr>
      </w:pPr>
    </w:p>
    <w:p w:rsidR="00C4172B" w:rsidRPr="00700E68" w:rsidRDefault="00946A63" w:rsidP="009E3550">
      <w:pPr>
        <w:pStyle w:val="Prrafodelista"/>
        <w:numPr>
          <w:ilvl w:val="2"/>
          <w:numId w:val="21"/>
        </w:numPr>
        <w:ind w:left="851" w:hanging="851"/>
        <w:jc w:val="both"/>
        <w:rPr>
          <w:rFonts w:ascii="Arial" w:hAnsi="Arial" w:cs="Arial"/>
          <w:b/>
          <w:sz w:val="18"/>
          <w:szCs w:val="18"/>
        </w:rPr>
      </w:pPr>
      <w:r w:rsidRPr="00700E68">
        <w:rPr>
          <w:rFonts w:ascii="Arial" w:hAnsi="Arial" w:cs="Arial"/>
          <w:b/>
          <w:sz w:val="18"/>
          <w:szCs w:val="18"/>
        </w:rPr>
        <w:t>Ponderación</w:t>
      </w:r>
      <w:r w:rsidR="00C4172B" w:rsidRPr="00700E68">
        <w:rPr>
          <w:rFonts w:ascii="Arial" w:hAnsi="Arial" w:cs="Arial"/>
          <w:b/>
          <w:sz w:val="18"/>
          <w:szCs w:val="18"/>
        </w:rPr>
        <w:t xml:space="preserve"> de las oper</w:t>
      </w:r>
      <w:r w:rsidRPr="00700E68">
        <w:rPr>
          <w:rFonts w:ascii="Arial" w:hAnsi="Arial" w:cs="Arial"/>
          <w:b/>
          <w:sz w:val="18"/>
          <w:szCs w:val="18"/>
        </w:rPr>
        <w:t>aciones del mercado monetario en el</w:t>
      </w:r>
      <w:r w:rsidR="00C4172B" w:rsidRPr="00700E68">
        <w:rPr>
          <w:rFonts w:ascii="Arial" w:hAnsi="Arial" w:cs="Arial"/>
          <w:b/>
          <w:sz w:val="18"/>
          <w:szCs w:val="18"/>
        </w:rPr>
        <w:t xml:space="preserve"> APNR</w:t>
      </w:r>
    </w:p>
    <w:p w:rsidR="00C4172B" w:rsidRPr="00700E68" w:rsidRDefault="00C4172B" w:rsidP="00FD60E6">
      <w:pPr>
        <w:pStyle w:val="Prrafodelista"/>
        <w:ind w:left="1080"/>
        <w:jc w:val="both"/>
        <w:rPr>
          <w:rFonts w:ascii="Arial" w:hAnsi="Arial" w:cs="Arial"/>
          <w:sz w:val="18"/>
          <w:szCs w:val="18"/>
        </w:rPr>
      </w:pPr>
    </w:p>
    <w:p w:rsidR="008222BC" w:rsidRPr="00700E68" w:rsidRDefault="008222BC" w:rsidP="00FD60E6">
      <w:pPr>
        <w:jc w:val="both"/>
        <w:rPr>
          <w:rFonts w:ascii="Arial" w:hAnsi="Arial" w:cs="Arial"/>
          <w:sz w:val="18"/>
          <w:szCs w:val="18"/>
        </w:rPr>
      </w:pPr>
      <w:r w:rsidRPr="00700E68">
        <w:rPr>
          <w:rFonts w:ascii="Arial" w:hAnsi="Arial" w:cs="Arial"/>
          <w:sz w:val="18"/>
          <w:szCs w:val="18"/>
        </w:rPr>
        <w:t>En las operaciones de reporto o repo, simultáneas y de transferenci</w:t>
      </w:r>
      <w:r w:rsidR="00E44A21" w:rsidRPr="00700E68">
        <w:rPr>
          <w:rFonts w:ascii="Arial" w:hAnsi="Arial" w:cs="Arial"/>
          <w:sz w:val="18"/>
          <w:szCs w:val="18"/>
        </w:rPr>
        <w:t xml:space="preserve">a temporal de valores se debe </w:t>
      </w:r>
      <w:r w:rsidRPr="00700E68">
        <w:rPr>
          <w:rFonts w:ascii="Arial" w:hAnsi="Arial" w:cs="Arial"/>
          <w:sz w:val="18"/>
          <w:szCs w:val="18"/>
        </w:rPr>
        <w:t xml:space="preserve">multiplicar la exposición neta de cada operación por el factor de ponderación que corresponda. </w:t>
      </w:r>
    </w:p>
    <w:p w:rsidR="008222BC" w:rsidRPr="00700E68" w:rsidRDefault="008222BC" w:rsidP="00FD60E6">
      <w:pPr>
        <w:jc w:val="both"/>
        <w:rPr>
          <w:rFonts w:ascii="Arial" w:hAnsi="Arial" w:cs="Arial"/>
          <w:sz w:val="18"/>
          <w:szCs w:val="18"/>
        </w:rPr>
      </w:pPr>
    </w:p>
    <w:p w:rsidR="008222BC" w:rsidRPr="00700E68" w:rsidRDefault="008222BC" w:rsidP="00FD60E6">
      <w:pPr>
        <w:ind w:firstLine="720"/>
        <w:jc w:val="both"/>
        <w:rPr>
          <w:rFonts w:ascii="Arial" w:hAnsi="Arial" w:cs="Arial"/>
          <w:sz w:val="18"/>
          <w:szCs w:val="18"/>
        </w:rPr>
      </w:pPr>
      <w:r w:rsidRPr="00700E68">
        <w:rPr>
          <w:rFonts w:ascii="Arial" w:hAnsi="Arial" w:cs="Arial"/>
          <w:sz w:val="18"/>
          <w:szCs w:val="18"/>
        </w:rPr>
        <w:t>a. Exposición neta (EN).</w:t>
      </w:r>
    </w:p>
    <w:p w:rsidR="008222BC" w:rsidRPr="00700E68" w:rsidRDefault="008222BC" w:rsidP="00FD60E6">
      <w:pPr>
        <w:jc w:val="both"/>
        <w:rPr>
          <w:rFonts w:ascii="Arial" w:hAnsi="Arial" w:cs="Arial"/>
          <w:sz w:val="18"/>
          <w:szCs w:val="18"/>
        </w:rPr>
      </w:pPr>
    </w:p>
    <w:p w:rsidR="008222BC" w:rsidRPr="00700E68" w:rsidRDefault="008222BC" w:rsidP="00FD60E6">
      <w:pPr>
        <w:jc w:val="both"/>
        <w:rPr>
          <w:rFonts w:ascii="Arial" w:hAnsi="Arial" w:cs="Arial"/>
          <w:sz w:val="18"/>
          <w:szCs w:val="18"/>
        </w:rPr>
      </w:pPr>
      <w:r w:rsidRPr="00700E68">
        <w:rPr>
          <w:rFonts w:ascii="Arial" w:hAnsi="Arial" w:cs="Arial"/>
          <w:sz w:val="18"/>
          <w:szCs w:val="18"/>
        </w:rPr>
        <w:t>Se entiende como exposición neta en una operación de reporto o repo, una operación simultánea o en una operación de transferencia temporal de valores, el monto que resulte de restar la posición deudora de la posición acreedora que ostenta la entidad en la respectiva operación, siempre que este monto sea positivo. Para el cálculo de dichas po</w:t>
      </w:r>
      <w:r w:rsidR="00E44A21" w:rsidRPr="00700E68">
        <w:rPr>
          <w:rFonts w:ascii="Arial" w:hAnsi="Arial" w:cs="Arial"/>
          <w:sz w:val="18"/>
          <w:szCs w:val="18"/>
        </w:rPr>
        <w:t>siciones debe</w:t>
      </w:r>
      <w:r w:rsidRPr="00700E68">
        <w:rPr>
          <w:rFonts w:ascii="Arial" w:hAnsi="Arial" w:cs="Arial"/>
          <w:sz w:val="18"/>
          <w:szCs w:val="18"/>
        </w:rPr>
        <w:t xml:space="preserve"> tenerse en cuenta el precio justo de intercambio</w:t>
      </w:r>
      <w:r w:rsidR="00955872" w:rsidRPr="00700E68">
        <w:rPr>
          <w:rFonts w:ascii="Arial" w:hAnsi="Arial" w:cs="Arial"/>
          <w:sz w:val="18"/>
          <w:szCs w:val="18"/>
        </w:rPr>
        <w:t xml:space="preserve"> de mercado</w:t>
      </w:r>
      <w:r w:rsidRPr="00700E68">
        <w:rPr>
          <w:rFonts w:ascii="Arial" w:hAnsi="Arial" w:cs="Arial"/>
          <w:sz w:val="18"/>
          <w:szCs w:val="18"/>
        </w:rPr>
        <w:t xml:space="preserve"> de los valores cuya propiedad se transfiera y/o la suma de dinero</w:t>
      </w:r>
      <w:r w:rsidR="00955872" w:rsidRPr="00700E68">
        <w:rPr>
          <w:rFonts w:ascii="Arial" w:hAnsi="Arial" w:cs="Arial"/>
          <w:sz w:val="18"/>
          <w:szCs w:val="18"/>
        </w:rPr>
        <w:t xml:space="preserve"> sea</w:t>
      </w:r>
      <w:r w:rsidRPr="00700E68">
        <w:rPr>
          <w:rFonts w:ascii="Arial" w:hAnsi="Arial" w:cs="Arial"/>
          <w:sz w:val="18"/>
          <w:szCs w:val="18"/>
        </w:rPr>
        <w:t xml:space="preserve"> entregada como parte de la operación, así como los intereses o rendimientos causados asociados a la misma.</w:t>
      </w:r>
    </w:p>
    <w:p w:rsidR="008222BC" w:rsidRPr="00700E68" w:rsidRDefault="008222BC" w:rsidP="00FD60E6">
      <w:pPr>
        <w:jc w:val="both"/>
        <w:rPr>
          <w:rFonts w:ascii="Arial" w:hAnsi="Arial" w:cs="Arial"/>
          <w:sz w:val="18"/>
          <w:szCs w:val="18"/>
        </w:rPr>
      </w:pPr>
    </w:p>
    <w:p w:rsidR="008222BC" w:rsidRPr="00700E68" w:rsidRDefault="005D4AF8" w:rsidP="00FD60E6">
      <w:pPr>
        <w:ind w:firstLine="720"/>
        <w:jc w:val="both"/>
        <w:rPr>
          <w:rFonts w:ascii="Arial" w:hAnsi="Arial" w:cs="Arial"/>
          <w:sz w:val="18"/>
          <w:szCs w:val="18"/>
        </w:rPr>
      </w:pPr>
      <w:r w:rsidRPr="00700E68">
        <w:rPr>
          <w:rFonts w:ascii="Arial" w:hAnsi="Arial" w:cs="Arial"/>
          <w:sz w:val="18"/>
          <w:szCs w:val="18"/>
        </w:rPr>
        <w:t xml:space="preserve">b. </w:t>
      </w:r>
      <w:r w:rsidR="008222BC" w:rsidRPr="00700E68">
        <w:rPr>
          <w:rFonts w:ascii="Arial" w:hAnsi="Arial" w:cs="Arial"/>
          <w:sz w:val="18"/>
          <w:szCs w:val="18"/>
        </w:rPr>
        <w:t xml:space="preserve">Incorporación al cálculo de los </w:t>
      </w:r>
      <w:r w:rsidR="00946A63" w:rsidRPr="00700E68">
        <w:rPr>
          <w:rFonts w:ascii="Arial" w:hAnsi="Arial" w:cs="Arial"/>
          <w:sz w:val="18"/>
          <w:szCs w:val="18"/>
        </w:rPr>
        <w:t>APNR</w:t>
      </w:r>
      <w:r w:rsidR="008222BC" w:rsidRPr="00700E68">
        <w:rPr>
          <w:rFonts w:ascii="Arial" w:hAnsi="Arial" w:cs="Arial"/>
          <w:sz w:val="18"/>
          <w:szCs w:val="18"/>
        </w:rPr>
        <w:t>.</w:t>
      </w:r>
    </w:p>
    <w:p w:rsidR="008222BC" w:rsidRPr="00700E68" w:rsidRDefault="008222BC" w:rsidP="00FD60E6">
      <w:pPr>
        <w:jc w:val="both"/>
        <w:rPr>
          <w:rFonts w:ascii="Arial" w:hAnsi="Arial" w:cs="Arial"/>
          <w:sz w:val="18"/>
          <w:szCs w:val="18"/>
        </w:rPr>
      </w:pPr>
    </w:p>
    <w:p w:rsidR="008222BC" w:rsidRPr="00700E68" w:rsidRDefault="008222BC" w:rsidP="00FD60E6">
      <w:pPr>
        <w:jc w:val="both"/>
        <w:rPr>
          <w:rFonts w:ascii="Arial" w:hAnsi="Arial" w:cs="Arial"/>
          <w:sz w:val="18"/>
          <w:szCs w:val="18"/>
        </w:rPr>
      </w:pPr>
      <w:r w:rsidRPr="00700E68">
        <w:rPr>
          <w:rFonts w:ascii="Arial" w:hAnsi="Arial" w:cs="Arial"/>
          <w:sz w:val="18"/>
          <w:szCs w:val="18"/>
        </w:rPr>
        <w:t>Una vez determinada la exposición n</w:t>
      </w:r>
      <w:r w:rsidR="00E44A21" w:rsidRPr="00700E68">
        <w:rPr>
          <w:rFonts w:ascii="Arial" w:hAnsi="Arial" w:cs="Arial"/>
          <w:sz w:val="18"/>
          <w:szCs w:val="18"/>
        </w:rPr>
        <w:t>eta de cada operación, se debe</w:t>
      </w:r>
      <w:r w:rsidRPr="00700E68">
        <w:rPr>
          <w:rFonts w:ascii="Arial" w:hAnsi="Arial" w:cs="Arial"/>
          <w:sz w:val="18"/>
          <w:szCs w:val="18"/>
        </w:rPr>
        <w:t xml:space="preserve"> determinar su contribución a los APNR.</w:t>
      </w:r>
    </w:p>
    <w:p w:rsidR="008222BC" w:rsidRPr="00700E68" w:rsidRDefault="008222BC" w:rsidP="00FD60E6">
      <w:pPr>
        <w:jc w:val="both"/>
        <w:rPr>
          <w:rFonts w:ascii="Arial" w:hAnsi="Arial" w:cs="Arial"/>
          <w:sz w:val="18"/>
          <w:szCs w:val="18"/>
        </w:rPr>
      </w:pPr>
    </w:p>
    <w:p w:rsidR="008222BC" w:rsidRPr="00700E68" w:rsidRDefault="008222BC" w:rsidP="00FD60E6">
      <w:pPr>
        <w:jc w:val="both"/>
        <w:rPr>
          <w:rFonts w:ascii="Arial" w:hAnsi="Arial" w:cs="Arial"/>
          <w:sz w:val="18"/>
          <w:szCs w:val="18"/>
        </w:rPr>
      </w:pPr>
      <w:r w:rsidRPr="00700E68">
        <w:rPr>
          <w:rFonts w:ascii="Arial" w:hAnsi="Arial" w:cs="Arial"/>
          <w:sz w:val="18"/>
          <w:szCs w:val="18"/>
        </w:rPr>
        <w:t>De esta manera, la contribución de una operación del mercado monetario a los APNR será igual a:</w:t>
      </w:r>
    </w:p>
    <w:p w:rsidR="008222BC" w:rsidRPr="00700E68" w:rsidRDefault="008222BC" w:rsidP="00FD60E6">
      <w:pPr>
        <w:jc w:val="both"/>
        <w:rPr>
          <w:rFonts w:ascii="Arial" w:hAnsi="Arial" w:cs="Arial"/>
          <w:sz w:val="18"/>
          <w:szCs w:val="18"/>
        </w:rPr>
      </w:pPr>
    </w:p>
    <w:p w:rsidR="008222BC" w:rsidRPr="00700E68" w:rsidRDefault="00700749" w:rsidP="00FD60E6">
      <w:pPr>
        <w:jc w:val="both"/>
        <w:rPr>
          <w:rFonts w:ascii="Arial" w:hAnsi="Arial" w:cs="Arial"/>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APNR</m:t>
              </m:r>
            </m:e>
            <m:sub>
              <m:r>
                <w:rPr>
                  <w:rFonts w:ascii="Cambria Math" w:hAnsi="Cambria Math" w:cs="Arial"/>
                  <w:sz w:val="18"/>
                  <w:szCs w:val="18"/>
                </w:rPr>
                <m:t>j</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W</m:t>
              </m:r>
            </m:e>
            <m:sub>
              <m:r>
                <w:rPr>
                  <w:rFonts w:ascii="Cambria Math" w:hAnsi="Cambria Math" w:cs="Arial"/>
                  <w:sz w:val="18"/>
                  <w:szCs w:val="18"/>
                </w:rPr>
                <m:t>j</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EN</m:t>
              </m:r>
            </m:e>
            <m:sub>
              <m:r>
                <w:rPr>
                  <w:rFonts w:ascii="Cambria Math" w:hAnsi="Cambria Math" w:cs="Arial"/>
                  <w:sz w:val="18"/>
                  <w:szCs w:val="18"/>
                </w:rPr>
                <m:t>j</m:t>
              </m:r>
            </m:sub>
          </m:sSub>
        </m:oMath>
      </m:oMathPara>
    </w:p>
    <w:p w:rsidR="00341153" w:rsidRPr="00700E68" w:rsidRDefault="00341153" w:rsidP="00FD60E6">
      <w:pPr>
        <w:jc w:val="both"/>
        <w:rPr>
          <w:rFonts w:ascii="Arial" w:hAnsi="Arial" w:cs="Arial"/>
          <w:sz w:val="18"/>
          <w:szCs w:val="18"/>
        </w:rPr>
      </w:pPr>
    </w:p>
    <w:p w:rsidR="008222BC" w:rsidRPr="00700E68" w:rsidRDefault="008222BC" w:rsidP="00FD60E6">
      <w:pPr>
        <w:jc w:val="both"/>
        <w:rPr>
          <w:rFonts w:ascii="Arial" w:hAnsi="Arial" w:cs="Arial"/>
          <w:sz w:val="18"/>
          <w:szCs w:val="18"/>
        </w:rPr>
      </w:pPr>
      <w:r w:rsidRPr="00700E68">
        <w:rPr>
          <w:rFonts w:ascii="Arial" w:hAnsi="Arial" w:cs="Arial"/>
          <w:sz w:val="18"/>
          <w:szCs w:val="18"/>
        </w:rPr>
        <w:t xml:space="preserve">donde </w:t>
      </w:r>
      <m:oMath>
        <m:sSub>
          <m:sSubPr>
            <m:ctrlPr>
              <w:rPr>
                <w:rFonts w:ascii="Cambria Math" w:hAnsi="Cambria Math" w:cs="Arial"/>
                <w:i/>
                <w:sz w:val="18"/>
                <w:szCs w:val="18"/>
              </w:rPr>
            </m:ctrlPr>
          </m:sSubPr>
          <m:e>
            <m:r>
              <w:rPr>
                <w:rFonts w:ascii="Cambria Math" w:hAnsi="Cambria Math" w:cs="Arial"/>
                <w:sz w:val="18"/>
                <w:szCs w:val="18"/>
              </w:rPr>
              <m:t>W</m:t>
            </m:r>
          </m:e>
          <m:sub>
            <m:r>
              <w:rPr>
                <w:rFonts w:ascii="Cambria Math" w:hAnsi="Cambria Math" w:cs="Arial"/>
                <w:sz w:val="18"/>
                <w:szCs w:val="18"/>
              </w:rPr>
              <m:t>j</m:t>
            </m:r>
          </m:sub>
        </m:sSub>
      </m:oMath>
      <w:r w:rsidRPr="00700E68">
        <w:rPr>
          <w:rFonts w:ascii="Arial" w:hAnsi="Arial" w:cs="Arial"/>
          <w:sz w:val="18"/>
          <w:szCs w:val="18"/>
        </w:rPr>
        <w:t xml:space="preserve"> corresponde al FP asignado según la calidad de la contraparte.</w:t>
      </w:r>
    </w:p>
    <w:p w:rsidR="00FD60E6" w:rsidRPr="00700E68" w:rsidRDefault="00FD60E6" w:rsidP="00FD60E6">
      <w:pPr>
        <w:jc w:val="both"/>
        <w:rPr>
          <w:rFonts w:ascii="Arial" w:hAnsi="Arial" w:cs="Arial"/>
          <w:sz w:val="18"/>
          <w:szCs w:val="18"/>
        </w:rPr>
      </w:pPr>
    </w:p>
    <w:p w:rsidR="0005682F" w:rsidRPr="00700E68" w:rsidRDefault="00946A63" w:rsidP="009E3550">
      <w:pPr>
        <w:pStyle w:val="Prrafodelista"/>
        <w:numPr>
          <w:ilvl w:val="2"/>
          <w:numId w:val="21"/>
        </w:numPr>
        <w:ind w:left="851" w:hanging="851"/>
        <w:jc w:val="both"/>
        <w:rPr>
          <w:rFonts w:ascii="Arial" w:hAnsi="Arial" w:cs="Arial"/>
          <w:b/>
          <w:sz w:val="18"/>
          <w:szCs w:val="18"/>
        </w:rPr>
      </w:pPr>
      <w:r w:rsidRPr="00700E68">
        <w:rPr>
          <w:rFonts w:ascii="Arial" w:hAnsi="Arial" w:cs="Arial"/>
          <w:b/>
          <w:sz w:val="18"/>
          <w:szCs w:val="18"/>
        </w:rPr>
        <w:t>Ponderación</w:t>
      </w:r>
      <w:r w:rsidR="0005682F" w:rsidRPr="00700E68">
        <w:rPr>
          <w:rFonts w:ascii="Arial" w:hAnsi="Arial" w:cs="Arial"/>
          <w:b/>
          <w:sz w:val="18"/>
          <w:szCs w:val="18"/>
        </w:rPr>
        <w:t xml:space="preserve"> de los Productos </w:t>
      </w:r>
      <w:r w:rsidRPr="00700E68">
        <w:rPr>
          <w:rFonts w:ascii="Arial" w:hAnsi="Arial" w:cs="Arial"/>
          <w:b/>
          <w:sz w:val="18"/>
          <w:szCs w:val="18"/>
        </w:rPr>
        <w:t xml:space="preserve">Estructurados en el </w:t>
      </w:r>
      <w:r w:rsidR="0005682F" w:rsidRPr="00700E68">
        <w:rPr>
          <w:rFonts w:ascii="Arial" w:hAnsi="Arial" w:cs="Arial"/>
          <w:b/>
          <w:sz w:val="18"/>
          <w:szCs w:val="18"/>
        </w:rPr>
        <w:t>APNR</w:t>
      </w:r>
    </w:p>
    <w:p w:rsidR="0005682F" w:rsidRPr="00700E68" w:rsidRDefault="0005682F" w:rsidP="00FD60E6">
      <w:pPr>
        <w:jc w:val="both"/>
        <w:rPr>
          <w:rFonts w:ascii="Arial" w:hAnsi="Arial" w:cs="Arial"/>
          <w:sz w:val="18"/>
          <w:szCs w:val="18"/>
        </w:rPr>
      </w:pPr>
    </w:p>
    <w:p w:rsidR="009A6158" w:rsidRDefault="008222BC" w:rsidP="00FD60E6">
      <w:pPr>
        <w:jc w:val="both"/>
        <w:rPr>
          <w:rFonts w:ascii="Arial" w:hAnsi="Arial" w:cs="Arial"/>
          <w:sz w:val="18"/>
          <w:szCs w:val="18"/>
        </w:rPr>
      </w:pPr>
      <w:r w:rsidRPr="00700E68">
        <w:rPr>
          <w:rFonts w:ascii="Arial" w:hAnsi="Arial" w:cs="Arial"/>
          <w:sz w:val="18"/>
          <w:szCs w:val="18"/>
        </w:rPr>
        <w:t>Los productos estructurados adquiridos por las entidades vigiladas comput</w:t>
      </w:r>
      <w:r w:rsidR="00E44A21" w:rsidRPr="00700E68">
        <w:rPr>
          <w:rFonts w:ascii="Arial" w:hAnsi="Arial" w:cs="Arial"/>
          <w:sz w:val="18"/>
          <w:szCs w:val="18"/>
        </w:rPr>
        <w:t>a</w:t>
      </w:r>
      <w:r w:rsidRPr="00700E68">
        <w:rPr>
          <w:rFonts w:ascii="Arial" w:hAnsi="Arial" w:cs="Arial"/>
          <w:sz w:val="18"/>
          <w:szCs w:val="18"/>
        </w:rPr>
        <w:t xml:space="preserve">n por su precio justo de intercambio </w:t>
      </w:r>
      <w:r w:rsidR="00955872" w:rsidRPr="00700E68">
        <w:rPr>
          <w:rFonts w:ascii="Arial" w:hAnsi="Arial" w:cs="Arial"/>
          <w:sz w:val="18"/>
          <w:szCs w:val="18"/>
        </w:rPr>
        <w:t xml:space="preserve">de mercado </w:t>
      </w:r>
      <w:r w:rsidRPr="00700E68">
        <w:rPr>
          <w:rFonts w:ascii="Arial" w:hAnsi="Arial" w:cs="Arial"/>
          <w:sz w:val="18"/>
          <w:szCs w:val="18"/>
        </w:rPr>
        <w:t>multiplicado por el factor de ponderación que corresponda, dependiendo de la categoría en la que se halle el respectivo emisor del producto, de acuerdo con la clasificación establecida en la cuenta 13</w:t>
      </w:r>
      <w:r w:rsidR="00574A6F" w:rsidRPr="00700E68">
        <w:rPr>
          <w:rFonts w:ascii="Arial" w:hAnsi="Arial" w:cs="Arial"/>
          <w:sz w:val="18"/>
          <w:szCs w:val="18"/>
        </w:rPr>
        <w:t xml:space="preserve"> del PUC Financiero</w:t>
      </w:r>
      <w:r w:rsidRPr="00700E68">
        <w:rPr>
          <w:rFonts w:ascii="Arial" w:hAnsi="Arial" w:cs="Arial"/>
          <w:sz w:val="18"/>
          <w:szCs w:val="18"/>
        </w:rPr>
        <w:t>.</w:t>
      </w:r>
    </w:p>
    <w:p w:rsidR="008222BC" w:rsidRPr="00700E68" w:rsidRDefault="008222BC" w:rsidP="00FD60E6">
      <w:pPr>
        <w:jc w:val="both"/>
        <w:rPr>
          <w:rFonts w:ascii="Arial" w:hAnsi="Arial" w:cs="Arial"/>
          <w:sz w:val="18"/>
          <w:szCs w:val="18"/>
        </w:rPr>
      </w:pPr>
      <w:r w:rsidRPr="00700E68">
        <w:rPr>
          <w:rFonts w:ascii="Arial" w:hAnsi="Arial" w:cs="Arial"/>
          <w:sz w:val="18"/>
          <w:szCs w:val="18"/>
        </w:rPr>
        <w:t xml:space="preserve"> </w:t>
      </w:r>
    </w:p>
    <w:p w:rsidR="009A6158" w:rsidRDefault="009A6158" w:rsidP="00FD60E6">
      <w:pPr>
        <w:jc w:val="both"/>
        <w:rPr>
          <w:rFonts w:ascii="Arial" w:hAnsi="Arial" w:cs="Arial"/>
          <w:sz w:val="18"/>
          <w:szCs w:val="18"/>
        </w:rPr>
        <w:sectPr w:rsidR="009A6158" w:rsidSect="009A6158">
          <w:headerReference w:type="default" r:id="rId36"/>
          <w:footerReference w:type="default" r:id="rId37"/>
          <w:pgSz w:w="12240" w:h="18720" w:code="14"/>
          <w:pgMar w:top="1148" w:right="1134" w:bottom="1701" w:left="1701" w:header="567" w:footer="567" w:gutter="0"/>
          <w:paperSrc w:first="15"/>
          <w:pgNumType w:start="79"/>
          <w:cols w:space="720"/>
          <w:noEndnote/>
          <w:docGrid w:linePitch="272"/>
        </w:sectPr>
      </w:pPr>
    </w:p>
    <w:p w:rsidR="009A6158" w:rsidRPr="00E33C34" w:rsidRDefault="009A6158" w:rsidP="009A6158">
      <w:pPr>
        <w:jc w:val="both"/>
        <w:rPr>
          <w:rFonts w:ascii="Arial" w:hAnsi="Arial" w:cs="Arial"/>
          <w:sz w:val="18"/>
          <w:szCs w:val="18"/>
        </w:rPr>
      </w:pPr>
      <w:bookmarkStart w:id="6" w:name="_Toc354995246"/>
      <w:r w:rsidRPr="00E33C34">
        <w:rPr>
          <w:rFonts w:ascii="Arial" w:hAnsi="Arial" w:cs="Arial"/>
          <w:sz w:val="18"/>
          <w:szCs w:val="18"/>
        </w:rPr>
        <w:lastRenderedPageBreak/>
        <w:t>No obstante, cuando se realicen inversiones en un producto estructurado cuyos componentes provengan de distintas contrapartes, pero se haya adquirido el mismo a otra entidad que obra como vendedor de éste y no es responsable de su pago, dicho producto estructurado computa por la suma de los siguientes dos (2) factores:</w:t>
      </w:r>
    </w:p>
    <w:p w:rsidR="009A6158" w:rsidRPr="00E33C34" w:rsidRDefault="009A6158" w:rsidP="009A6158">
      <w:pPr>
        <w:jc w:val="both"/>
        <w:rPr>
          <w:rFonts w:ascii="Arial" w:hAnsi="Arial" w:cs="Arial"/>
          <w:sz w:val="18"/>
          <w:szCs w:val="18"/>
        </w:rPr>
      </w:pPr>
    </w:p>
    <w:p w:rsidR="009A6158" w:rsidRPr="00E33C34" w:rsidRDefault="009A6158" w:rsidP="009A6158">
      <w:pPr>
        <w:ind w:left="720"/>
        <w:jc w:val="both"/>
        <w:rPr>
          <w:rFonts w:ascii="Arial" w:hAnsi="Arial" w:cs="Arial"/>
          <w:sz w:val="18"/>
          <w:szCs w:val="18"/>
        </w:rPr>
      </w:pPr>
      <w:r w:rsidRPr="00E33C34">
        <w:rPr>
          <w:rFonts w:ascii="Arial" w:hAnsi="Arial" w:cs="Arial"/>
          <w:sz w:val="18"/>
          <w:szCs w:val="18"/>
        </w:rPr>
        <w:t>i. La multiplicación del precio justo de intercambio de mercado del componente no derivado por el factor de ponderación que aplique al respectivo emisor.</w:t>
      </w:r>
    </w:p>
    <w:p w:rsidR="009A6158" w:rsidRPr="00E33C34" w:rsidRDefault="009A6158" w:rsidP="009A6158">
      <w:pPr>
        <w:ind w:left="720"/>
        <w:jc w:val="both"/>
        <w:rPr>
          <w:rFonts w:ascii="Arial" w:hAnsi="Arial" w:cs="Arial"/>
          <w:sz w:val="18"/>
          <w:szCs w:val="18"/>
        </w:rPr>
      </w:pPr>
    </w:p>
    <w:p w:rsidR="009A6158" w:rsidRPr="00E33C34" w:rsidRDefault="009A6158" w:rsidP="009A6158">
      <w:pPr>
        <w:ind w:left="720"/>
        <w:jc w:val="both"/>
        <w:rPr>
          <w:rFonts w:ascii="Arial" w:hAnsi="Arial" w:cs="Arial"/>
          <w:sz w:val="18"/>
          <w:szCs w:val="18"/>
        </w:rPr>
      </w:pPr>
      <w:r w:rsidRPr="00E33C34">
        <w:rPr>
          <w:rFonts w:ascii="Arial" w:hAnsi="Arial" w:cs="Arial"/>
          <w:sz w:val="18"/>
          <w:szCs w:val="18"/>
        </w:rPr>
        <w:t>ii. La multiplicación de la exposición crediticia de los componentes derivados por el factor de ponderación que aplique a la respectiva contraparte. Dicha exposición crediticia se debe calcula según lo establecido en el Anexo 4 del Capítulo XVIII de la CBCF.</w:t>
      </w:r>
    </w:p>
    <w:p w:rsidR="009A6158" w:rsidRPr="00E33C34" w:rsidRDefault="009A6158" w:rsidP="009A6158">
      <w:pPr>
        <w:pBdr>
          <w:left w:val="single" w:sz="4" w:space="4" w:color="auto"/>
        </w:pBdr>
        <w:jc w:val="both"/>
        <w:rPr>
          <w:rFonts w:ascii="Arial" w:hAnsi="Arial" w:cs="Arial"/>
          <w:sz w:val="18"/>
          <w:szCs w:val="18"/>
        </w:rPr>
      </w:pPr>
    </w:p>
    <w:p w:rsidR="009A6158" w:rsidRPr="007D7653" w:rsidRDefault="009A6158" w:rsidP="009A6158">
      <w:pPr>
        <w:pBdr>
          <w:left w:val="single" w:sz="4" w:space="4" w:color="auto"/>
        </w:pBdr>
        <w:jc w:val="both"/>
        <w:rPr>
          <w:rFonts w:ascii="Arial" w:hAnsi="Arial" w:cs="Arial"/>
          <w:sz w:val="18"/>
          <w:szCs w:val="18"/>
          <w:highlight w:val="yellow"/>
        </w:rPr>
      </w:pPr>
    </w:p>
    <w:p w:rsidR="009A6158" w:rsidRDefault="009A6158" w:rsidP="009A6158">
      <w:pPr>
        <w:pBdr>
          <w:left w:val="single" w:sz="4" w:space="4" w:color="auto"/>
        </w:pBdr>
        <w:jc w:val="both"/>
        <w:rPr>
          <w:rFonts w:ascii="Arial" w:hAnsi="Arial" w:cs="Arial"/>
          <w:sz w:val="18"/>
          <w:szCs w:val="18"/>
        </w:rPr>
      </w:pPr>
    </w:p>
    <w:p w:rsidR="009A6158" w:rsidRDefault="009A6158" w:rsidP="009A6158">
      <w:pPr>
        <w:pBdr>
          <w:left w:val="single" w:sz="4" w:space="4" w:color="auto"/>
        </w:pBdr>
        <w:jc w:val="both"/>
        <w:rPr>
          <w:rFonts w:ascii="Arial" w:hAnsi="Arial" w:cs="Arial"/>
          <w:sz w:val="18"/>
          <w:szCs w:val="18"/>
        </w:rPr>
      </w:pPr>
    </w:p>
    <w:p w:rsidR="009A6158" w:rsidRDefault="009A6158" w:rsidP="009A6158">
      <w:pPr>
        <w:pBdr>
          <w:left w:val="single" w:sz="4" w:space="4" w:color="auto"/>
        </w:pBdr>
        <w:jc w:val="both"/>
        <w:rPr>
          <w:rFonts w:ascii="Arial" w:hAnsi="Arial" w:cs="Arial"/>
          <w:sz w:val="18"/>
          <w:szCs w:val="18"/>
        </w:rPr>
      </w:pPr>
    </w:p>
    <w:p w:rsidR="009A6158" w:rsidRDefault="009A6158" w:rsidP="009A6158">
      <w:pPr>
        <w:pBdr>
          <w:left w:val="single" w:sz="4" w:space="4" w:color="auto"/>
        </w:pBdr>
        <w:jc w:val="both"/>
        <w:rPr>
          <w:rFonts w:ascii="Arial" w:hAnsi="Arial" w:cs="Arial"/>
          <w:sz w:val="18"/>
          <w:szCs w:val="18"/>
        </w:rPr>
      </w:pPr>
    </w:p>
    <w:p w:rsidR="009A6158" w:rsidRDefault="009A6158" w:rsidP="009A6158">
      <w:pPr>
        <w:pBdr>
          <w:left w:val="single" w:sz="4" w:space="4" w:color="auto"/>
        </w:pBdr>
        <w:jc w:val="both"/>
        <w:rPr>
          <w:rFonts w:ascii="Arial" w:hAnsi="Arial" w:cs="Arial"/>
          <w:sz w:val="18"/>
          <w:szCs w:val="18"/>
        </w:rPr>
      </w:pPr>
    </w:p>
    <w:p w:rsidR="009A6158" w:rsidRDefault="009A6158" w:rsidP="009A6158">
      <w:pPr>
        <w:pBdr>
          <w:left w:val="single" w:sz="4" w:space="4" w:color="auto"/>
        </w:pBdr>
        <w:jc w:val="both"/>
        <w:rPr>
          <w:rFonts w:ascii="Arial" w:hAnsi="Arial" w:cs="Arial"/>
          <w:sz w:val="18"/>
          <w:szCs w:val="18"/>
        </w:rPr>
      </w:pPr>
    </w:p>
    <w:p w:rsidR="009A6158" w:rsidRDefault="009A6158" w:rsidP="009A6158">
      <w:pPr>
        <w:pBdr>
          <w:left w:val="single" w:sz="4" w:space="4" w:color="auto"/>
        </w:pBdr>
        <w:jc w:val="both"/>
        <w:rPr>
          <w:rFonts w:ascii="Arial" w:hAnsi="Arial" w:cs="Arial"/>
          <w:sz w:val="18"/>
          <w:szCs w:val="18"/>
        </w:rPr>
      </w:pPr>
    </w:p>
    <w:p w:rsidR="009A6158" w:rsidRDefault="009A6158" w:rsidP="009A6158">
      <w:pPr>
        <w:pBdr>
          <w:left w:val="single" w:sz="4" w:space="4" w:color="auto"/>
        </w:pBdr>
        <w:jc w:val="both"/>
        <w:rPr>
          <w:rFonts w:ascii="Arial" w:hAnsi="Arial" w:cs="Arial"/>
          <w:sz w:val="18"/>
          <w:szCs w:val="18"/>
        </w:rPr>
      </w:pPr>
    </w:p>
    <w:p w:rsidR="009A6158" w:rsidRDefault="009A6158" w:rsidP="009A6158">
      <w:pPr>
        <w:pBdr>
          <w:left w:val="single" w:sz="4" w:space="4" w:color="auto"/>
        </w:pBdr>
        <w:jc w:val="both"/>
        <w:rPr>
          <w:rFonts w:ascii="Arial" w:hAnsi="Arial" w:cs="Arial"/>
          <w:sz w:val="18"/>
          <w:szCs w:val="18"/>
        </w:rPr>
      </w:pPr>
    </w:p>
    <w:p w:rsidR="009A6158" w:rsidRDefault="009A6158" w:rsidP="009A6158">
      <w:pPr>
        <w:pBdr>
          <w:left w:val="single" w:sz="4" w:space="4" w:color="auto"/>
        </w:pBdr>
        <w:jc w:val="both"/>
        <w:rPr>
          <w:rFonts w:ascii="Arial" w:hAnsi="Arial" w:cs="Arial"/>
          <w:sz w:val="18"/>
          <w:szCs w:val="18"/>
        </w:rPr>
      </w:pPr>
    </w:p>
    <w:p w:rsidR="009A6158" w:rsidRDefault="009A6158" w:rsidP="009A6158">
      <w:pPr>
        <w:pBdr>
          <w:left w:val="single" w:sz="4" w:space="4" w:color="auto"/>
        </w:pBdr>
        <w:jc w:val="both"/>
        <w:rPr>
          <w:rFonts w:ascii="Arial" w:hAnsi="Arial" w:cs="Arial"/>
          <w:sz w:val="18"/>
          <w:szCs w:val="18"/>
        </w:rPr>
      </w:pPr>
    </w:p>
    <w:p w:rsidR="009A6158" w:rsidRDefault="009A6158" w:rsidP="009A6158">
      <w:pPr>
        <w:pBdr>
          <w:left w:val="single" w:sz="4" w:space="4" w:color="auto"/>
        </w:pBdr>
        <w:jc w:val="both"/>
        <w:rPr>
          <w:rFonts w:ascii="Arial" w:hAnsi="Arial" w:cs="Arial"/>
          <w:sz w:val="18"/>
          <w:szCs w:val="18"/>
        </w:rPr>
      </w:pPr>
    </w:p>
    <w:p w:rsidR="009A6158" w:rsidRDefault="009A6158" w:rsidP="009A6158">
      <w:pPr>
        <w:pBdr>
          <w:left w:val="single" w:sz="4" w:space="4" w:color="auto"/>
        </w:pBdr>
        <w:jc w:val="both"/>
        <w:rPr>
          <w:rFonts w:ascii="Arial" w:hAnsi="Arial" w:cs="Arial"/>
          <w:sz w:val="18"/>
          <w:szCs w:val="18"/>
        </w:rPr>
      </w:pPr>
    </w:p>
    <w:p w:rsidR="009A6158" w:rsidRDefault="009A6158" w:rsidP="009A6158">
      <w:pPr>
        <w:pBdr>
          <w:left w:val="single" w:sz="4" w:space="4" w:color="auto"/>
        </w:pBdr>
        <w:jc w:val="both"/>
        <w:rPr>
          <w:rFonts w:ascii="Arial" w:hAnsi="Arial" w:cs="Arial"/>
          <w:sz w:val="18"/>
          <w:szCs w:val="18"/>
        </w:rPr>
      </w:pPr>
    </w:p>
    <w:p w:rsidR="009A6158" w:rsidRDefault="009A6158" w:rsidP="009A6158">
      <w:pPr>
        <w:pBdr>
          <w:left w:val="single" w:sz="4" w:space="4" w:color="auto"/>
        </w:pBdr>
        <w:jc w:val="both"/>
        <w:rPr>
          <w:rFonts w:ascii="Arial" w:hAnsi="Arial" w:cs="Arial"/>
          <w:sz w:val="18"/>
          <w:szCs w:val="18"/>
        </w:rPr>
      </w:pPr>
    </w:p>
    <w:p w:rsidR="009A6158" w:rsidRDefault="009A6158" w:rsidP="009A6158">
      <w:pPr>
        <w:pBdr>
          <w:left w:val="single" w:sz="4" w:space="4" w:color="auto"/>
        </w:pBdr>
        <w:jc w:val="both"/>
        <w:rPr>
          <w:rFonts w:ascii="Arial" w:hAnsi="Arial" w:cs="Arial"/>
          <w:sz w:val="18"/>
          <w:szCs w:val="18"/>
        </w:rPr>
      </w:pPr>
    </w:p>
    <w:p w:rsidR="009A6158" w:rsidRDefault="009A6158" w:rsidP="009A6158">
      <w:pPr>
        <w:pBdr>
          <w:left w:val="single" w:sz="4" w:space="4" w:color="auto"/>
        </w:pBdr>
        <w:jc w:val="both"/>
        <w:rPr>
          <w:rFonts w:ascii="Arial" w:hAnsi="Arial" w:cs="Arial"/>
          <w:sz w:val="18"/>
          <w:szCs w:val="18"/>
        </w:rPr>
      </w:pPr>
    </w:p>
    <w:p w:rsidR="009A6158" w:rsidRPr="00E33C34" w:rsidRDefault="009A6158" w:rsidP="009A6158">
      <w:pPr>
        <w:pStyle w:val="Prrafodelista"/>
        <w:numPr>
          <w:ilvl w:val="1"/>
          <w:numId w:val="40"/>
        </w:numPr>
        <w:pBdr>
          <w:left w:val="single" w:sz="4" w:space="4" w:color="auto"/>
        </w:pBdr>
        <w:jc w:val="both"/>
        <w:rPr>
          <w:rFonts w:ascii="Arial" w:hAnsi="Arial" w:cs="Arial"/>
          <w:b/>
          <w:sz w:val="18"/>
          <w:szCs w:val="18"/>
        </w:rPr>
      </w:pPr>
      <w:r w:rsidRPr="00E33C34">
        <w:rPr>
          <w:rFonts w:ascii="Arial" w:hAnsi="Arial" w:cs="Arial"/>
          <w:b/>
          <w:sz w:val="18"/>
          <w:szCs w:val="18"/>
        </w:rPr>
        <w:t>Riesgo de Mercado</w:t>
      </w:r>
    </w:p>
    <w:p w:rsidR="009A6158" w:rsidRPr="00E33C34" w:rsidRDefault="009A6158" w:rsidP="009A6158">
      <w:pPr>
        <w:jc w:val="both"/>
        <w:rPr>
          <w:rFonts w:ascii="Arial" w:hAnsi="Arial" w:cs="Arial"/>
          <w:sz w:val="18"/>
          <w:szCs w:val="18"/>
        </w:rPr>
      </w:pPr>
    </w:p>
    <w:p w:rsidR="009A6158" w:rsidRPr="00E33C34" w:rsidRDefault="009A6158" w:rsidP="009A6158">
      <w:pPr>
        <w:jc w:val="both"/>
        <w:rPr>
          <w:rFonts w:ascii="Arial" w:hAnsi="Arial" w:cs="Arial"/>
          <w:sz w:val="18"/>
          <w:szCs w:val="18"/>
        </w:rPr>
      </w:pPr>
      <w:r w:rsidRPr="00E33C34">
        <w:rPr>
          <w:rFonts w:ascii="Arial" w:hAnsi="Arial" w:cs="Arial"/>
          <w:sz w:val="18"/>
          <w:szCs w:val="18"/>
        </w:rPr>
        <w:t>La medición de la exposición al riesgo de mercado se debe realizar conforme a las instrucciones establecidas en el Capítulo XXI “Reglas relativas al sistema de administración de riesgo de mercado” de la CBCF.</w:t>
      </w:r>
    </w:p>
    <w:p w:rsidR="009A6158" w:rsidRPr="00E33C34" w:rsidRDefault="009A6158" w:rsidP="009A6158">
      <w:pPr>
        <w:jc w:val="both"/>
        <w:rPr>
          <w:rFonts w:ascii="Arial" w:hAnsi="Arial" w:cs="Arial"/>
          <w:sz w:val="18"/>
          <w:szCs w:val="18"/>
        </w:rPr>
      </w:pPr>
    </w:p>
    <w:p w:rsidR="009A6158" w:rsidRPr="00E33C34" w:rsidRDefault="009A6158" w:rsidP="009A6158">
      <w:pPr>
        <w:pStyle w:val="Prrafodelista"/>
        <w:numPr>
          <w:ilvl w:val="0"/>
          <w:numId w:val="40"/>
        </w:numPr>
        <w:ind w:left="567" w:hanging="567"/>
        <w:jc w:val="both"/>
        <w:outlineLvl w:val="0"/>
        <w:rPr>
          <w:rFonts w:ascii="Arial" w:hAnsi="Arial" w:cs="Arial"/>
          <w:b/>
          <w:sz w:val="18"/>
          <w:szCs w:val="18"/>
        </w:rPr>
      </w:pPr>
      <w:r w:rsidRPr="00E33C34">
        <w:rPr>
          <w:rFonts w:ascii="Arial" w:hAnsi="Arial" w:cs="Arial"/>
          <w:b/>
          <w:sz w:val="18"/>
          <w:szCs w:val="18"/>
        </w:rPr>
        <w:t xml:space="preserve">     SANCIONES</w:t>
      </w:r>
    </w:p>
    <w:p w:rsidR="009A6158" w:rsidRPr="00E33C34" w:rsidRDefault="009A6158" w:rsidP="009A6158">
      <w:pPr>
        <w:jc w:val="both"/>
        <w:outlineLvl w:val="0"/>
        <w:rPr>
          <w:rFonts w:ascii="Arial" w:hAnsi="Arial" w:cs="Arial"/>
          <w:sz w:val="18"/>
          <w:szCs w:val="18"/>
        </w:rPr>
      </w:pPr>
    </w:p>
    <w:p w:rsidR="009A6158" w:rsidRPr="00E33C34" w:rsidRDefault="009A6158" w:rsidP="009A6158">
      <w:pPr>
        <w:jc w:val="both"/>
        <w:outlineLvl w:val="0"/>
        <w:rPr>
          <w:rFonts w:ascii="Arial" w:hAnsi="Arial" w:cs="Arial"/>
          <w:sz w:val="18"/>
          <w:szCs w:val="18"/>
        </w:rPr>
      </w:pPr>
      <w:r w:rsidRPr="00E33C34">
        <w:rPr>
          <w:rFonts w:ascii="Arial" w:hAnsi="Arial" w:cs="Arial"/>
          <w:sz w:val="18"/>
          <w:szCs w:val="18"/>
        </w:rPr>
        <w:t xml:space="preserve">En el evento en que la entidad incumpla con alguna o todas las relaciones mínimas de solvencia, la SFC le impondrá una multa a favor del Tesoro Nacional por el equivalente al tres punto cinco por ciento (3.5%) del valor del defecto patrimonial, por cada mes del periodo de control. Lo anterior, sin perjuicio de las demás sanciones o medidas administrativas que imponga la SFC, conforme sus facultades legales, tales como las señaladas en el artículo 208 del EOSF. </w:t>
      </w:r>
    </w:p>
    <w:p w:rsidR="009A6158" w:rsidRPr="00E33C34" w:rsidRDefault="009A6158" w:rsidP="009A6158">
      <w:pPr>
        <w:jc w:val="both"/>
        <w:outlineLvl w:val="0"/>
        <w:rPr>
          <w:rFonts w:ascii="Arial" w:hAnsi="Arial" w:cs="Arial"/>
          <w:sz w:val="18"/>
          <w:szCs w:val="18"/>
        </w:rPr>
      </w:pPr>
    </w:p>
    <w:p w:rsidR="009A6158" w:rsidRPr="00E33C34" w:rsidRDefault="009A6158" w:rsidP="009A6158">
      <w:pPr>
        <w:jc w:val="both"/>
        <w:outlineLvl w:val="0"/>
        <w:rPr>
          <w:rFonts w:ascii="Arial" w:hAnsi="Arial" w:cs="Arial"/>
          <w:sz w:val="18"/>
          <w:szCs w:val="18"/>
        </w:rPr>
      </w:pPr>
      <w:r w:rsidRPr="00E33C34">
        <w:rPr>
          <w:rFonts w:ascii="Arial" w:hAnsi="Arial" w:cs="Arial"/>
          <w:sz w:val="18"/>
          <w:szCs w:val="18"/>
        </w:rPr>
        <w:t>En el caso en que una misma entidad incumpla las relaciones mínimas de solvencia de forma individual y en forma consolidada, se le aplicará la sanción que resulte mayor.</w:t>
      </w:r>
    </w:p>
    <w:p w:rsidR="009A6158" w:rsidRPr="00E33C34" w:rsidRDefault="009A6158" w:rsidP="009A6158">
      <w:pPr>
        <w:jc w:val="both"/>
        <w:outlineLvl w:val="0"/>
        <w:rPr>
          <w:rFonts w:ascii="Arial" w:hAnsi="Arial" w:cs="Arial"/>
          <w:sz w:val="18"/>
          <w:szCs w:val="18"/>
        </w:rPr>
      </w:pPr>
    </w:p>
    <w:p w:rsidR="009A6158" w:rsidRPr="00E33C34" w:rsidRDefault="009A6158" w:rsidP="009A6158">
      <w:pPr>
        <w:jc w:val="both"/>
        <w:outlineLvl w:val="0"/>
        <w:rPr>
          <w:rFonts w:ascii="Arial" w:hAnsi="Arial" w:cs="Arial"/>
          <w:sz w:val="18"/>
          <w:szCs w:val="18"/>
        </w:rPr>
      </w:pPr>
      <w:r w:rsidRPr="00E33C34">
        <w:rPr>
          <w:rFonts w:ascii="Arial" w:hAnsi="Arial" w:cs="Arial"/>
          <w:sz w:val="18"/>
          <w:szCs w:val="18"/>
        </w:rPr>
        <w:t>Adicionalmente, cuando una entidad presente defectos en las relaciones de solvencia tiene la obligación de contabilizar una provisión por el valor equivalente al monto total de la sanción respectiva, previa liquidación privada, en los términos señalados en la cuenta con código 2860 del PUC Financiero.</w:t>
      </w:r>
    </w:p>
    <w:p w:rsidR="009A6158" w:rsidRPr="00E33C34" w:rsidRDefault="009A6158" w:rsidP="009A6158">
      <w:pPr>
        <w:jc w:val="both"/>
        <w:outlineLvl w:val="0"/>
        <w:rPr>
          <w:rFonts w:ascii="Arial" w:hAnsi="Arial" w:cs="Arial"/>
          <w:sz w:val="18"/>
          <w:szCs w:val="18"/>
        </w:rPr>
      </w:pPr>
    </w:p>
    <w:p w:rsidR="009A6158" w:rsidRPr="00E33C34" w:rsidRDefault="009A6158" w:rsidP="009A6158">
      <w:pPr>
        <w:pStyle w:val="Prrafodelista"/>
        <w:numPr>
          <w:ilvl w:val="0"/>
          <w:numId w:val="18"/>
        </w:numPr>
        <w:ind w:left="567" w:hanging="567"/>
        <w:jc w:val="both"/>
        <w:outlineLvl w:val="0"/>
        <w:rPr>
          <w:rFonts w:ascii="Arial" w:hAnsi="Arial" w:cs="Arial"/>
          <w:b/>
          <w:sz w:val="18"/>
          <w:szCs w:val="18"/>
        </w:rPr>
      </w:pPr>
      <w:r w:rsidRPr="00E33C34">
        <w:rPr>
          <w:rFonts w:ascii="Arial" w:hAnsi="Arial" w:cs="Arial"/>
          <w:b/>
          <w:sz w:val="18"/>
          <w:szCs w:val="18"/>
        </w:rPr>
        <w:t xml:space="preserve">    PLAN DE AJUSTE</w:t>
      </w:r>
    </w:p>
    <w:p w:rsidR="009A6158" w:rsidRPr="00E33C34" w:rsidRDefault="009A6158" w:rsidP="009A6158">
      <w:pPr>
        <w:jc w:val="both"/>
        <w:outlineLvl w:val="0"/>
        <w:rPr>
          <w:rFonts w:ascii="Arial" w:hAnsi="Arial" w:cs="Arial"/>
          <w:b/>
          <w:sz w:val="18"/>
          <w:szCs w:val="18"/>
        </w:rPr>
      </w:pPr>
    </w:p>
    <w:p w:rsidR="009A6158" w:rsidRPr="00E33C34" w:rsidRDefault="009A6158" w:rsidP="009A6158">
      <w:pPr>
        <w:jc w:val="both"/>
        <w:outlineLvl w:val="0"/>
        <w:rPr>
          <w:rFonts w:ascii="Arial" w:hAnsi="Arial" w:cs="Arial"/>
          <w:sz w:val="18"/>
          <w:szCs w:val="18"/>
        </w:rPr>
      </w:pPr>
      <w:r w:rsidRPr="00E33C34">
        <w:rPr>
          <w:rFonts w:ascii="Arial" w:hAnsi="Arial" w:cs="Arial"/>
          <w:sz w:val="18"/>
          <w:szCs w:val="18"/>
        </w:rPr>
        <w:t>Cuando una entidad prevea que va a incurrir o presente defectos en las relaciones mínimas de solvencia debe adjuntar a los estados financieros del mes correspondiente, dentro del término previsto en las disposiciones legales para la remisión de los mismos, el plan de ajuste para la aprobación de esta Superintendencia. Lo anterior, siempre y cuando el defecto no pueda ser resuelto por medios ordinarios antes de dos (2) meses y afecte en forma significativa la capacidad operativa de la entidad.</w:t>
      </w:r>
    </w:p>
    <w:p w:rsidR="009A6158" w:rsidRPr="00E33C34" w:rsidRDefault="009A6158" w:rsidP="009A6158">
      <w:pPr>
        <w:jc w:val="both"/>
        <w:outlineLvl w:val="0"/>
        <w:rPr>
          <w:rFonts w:ascii="Arial" w:hAnsi="Arial" w:cs="Arial"/>
          <w:sz w:val="18"/>
          <w:szCs w:val="18"/>
        </w:rPr>
      </w:pPr>
    </w:p>
    <w:p w:rsidR="009A6158" w:rsidRPr="00E33C34" w:rsidRDefault="009A6158" w:rsidP="009A6158">
      <w:pPr>
        <w:jc w:val="both"/>
        <w:outlineLvl w:val="0"/>
        <w:rPr>
          <w:rFonts w:ascii="Arial" w:hAnsi="Arial" w:cs="Arial"/>
          <w:sz w:val="18"/>
          <w:szCs w:val="18"/>
        </w:rPr>
      </w:pPr>
      <w:r w:rsidRPr="00E33C34">
        <w:rPr>
          <w:rFonts w:ascii="Arial" w:hAnsi="Arial" w:cs="Arial"/>
          <w:sz w:val="18"/>
          <w:szCs w:val="18"/>
        </w:rPr>
        <w:t>El documento mediante el cual se presente el citado plan de ajuste debe contener como mínimo la siguiente información:</w:t>
      </w:r>
    </w:p>
    <w:p w:rsidR="009A6158" w:rsidRPr="00E33C34" w:rsidRDefault="009A6158" w:rsidP="009A6158">
      <w:pPr>
        <w:jc w:val="both"/>
        <w:outlineLvl w:val="0"/>
        <w:rPr>
          <w:rFonts w:ascii="Arial" w:hAnsi="Arial" w:cs="Arial"/>
          <w:sz w:val="18"/>
          <w:szCs w:val="18"/>
        </w:rPr>
      </w:pPr>
    </w:p>
    <w:p w:rsidR="009A6158" w:rsidRPr="00E33C34" w:rsidRDefault="009A6158" w:rsidP="009A6158">
      <w:pPr>
        <w:pStyle w:val="Prrafodelista"/>
        <w:numPr>
          <w:ilvl w:val="0"/>
          <w:numId w:val="19"/>
        </w:numPr>
        <w:jc w:val="both"/>
        <w:outlineLvl w:val="0"/>
        <w:rPr>
          <w:rFonts w:ascii="Arial" w:hAnsi="Arial" w:cs="Arial"/>
          <w:sz w:val="18"/>
          <w:szCs w:val="18"/>
        </w:rPr>
      </w:pPr>
      <w:r w:rsidRPr="00E33C34">
        <w:rPr>
          <w:rFonts w:ascii="Arial" w:hAnsi="Arial" w:cs="Arial"/>
          <w:sz w:val="18"/>
          <w:szCs w:val="18"/>
        </w:rPr>
        <w:t xml:space="preserve">Las explicaciones sobre los motivos que originaron u originarán el defecto respectivo, con un estudio fundamentado de análisis financiero en el que se evalúen las principales variaciones de aquellas cuentas en donde se causen los mayores cambios por cuyo motivo se presenta el defecto. </w:t>
      </w:r>
    </w:p>
    <w:p w:rsidR="009A6158" w:rsidRPr="00E33C34" w:rsidRDefault="009A6158" w:rsidP="009A6158">
      <w:pPr>
        <w:jc w:val="both"/>
        <w:outlineLvl w:val="0"/>
        <w:rPr>
          <w:rFonts w:ascii="Arial" w:hAnsi="Arial" w:cs="Arial"/>
          <w:sz w:val="18"/>
          <w:szCs w:val="18"/>
        </w:rPr>
      </w:pPr>
    </w:p>
    <w:p w:rsidR="009A6158" w:rsidRPr="00E33C34" w:rsidRDefault="009A6158" w:rsidP="009A6158">
      <w:pPr>
        <w:pStyle w:val="Prrafodelista"/>
        <w:numPr>
          <w:ilvl w:val="0"/>
          <w:numId w:val="19"/>
        </w:numPr>
        <w:jc w:val="both"/>
        <w:outlineLvl w:val="0"/>
        <w:rPr>
          <w:rFonts w:ascii="Arial" w:hAnsi="Arial" w:cs="Arial"/>
          <w:sz w:val="18"/>
          <w:szCs w:val="18"/>
        </w:rPr>
      </w:pPr>
      <w:r w:rsidRPr="00E33C34">
        <w:rPr>
          <w:rFonts w:ascii="Arial" w:hAnsi="Arial" w:cs="Arial"/>
          <w:sz w:val="18"/>
          <w:szCs w:val="18"/>
        </w:rPr>
        <w:t xml:space="preserve">Un programa de ajuste que, partiendo del anterior diagnóstico, permita establecer objetivos, metas y estrategias de corto plazo para ajustarse a las relaciones correspondientes. Éste deberá determinar de manera exacta, oportuna y cuantificable, proyectos específicos en materia de crecimiento o de la distribución del total de activos o determinadas categorías de ellos, obligaciones de enajenación de inversiones, incrementos patrimoniales, o cualquier otro aspecto que permita evitar o resolver a la mayor brevedad posible el incumplimiento de las relaciones mínimas de solvencia. </w:t>
      </w:r>
    </w:p>
    <w:p w:rsidR="009A6158" w:rsidRPr="00E33C34" w:rsidRDefault="009A6158" w:rsidP="009A6158">
      <w:pPr>
        <w:jc w:val="both"/>
        <w:outlineLvl w:val="0"/>
        <w:rPr>
          <w:rFonts w:ascii="Arial" w:hAnsi="Arial" w:cs="Arial"/>
          <w:sz w:val="18"/>
          <w:szCs w:val="18"/>
        </w:rPr>
      </w:pPr>
    </w:p>
    <w:p w:rsidR="009A6158" w:rsidRDefault="009A6158" w:rsidP="00FD60E6">
      <w:pPr>
        <w:pStyle w:val="Prrafodelista"/>
        <w:numPr>
          <w:ilvl w:val="0"/>
          <w:numId w:val="19"/>
        </w:numPr>
        <w:jc w:val="both"/>
        <w:outlineLvl w:val="0"/>
        <w:rPr>
          <w:rFonts w:ascii="Arial" w:hAnsi="Arial" w:cs="Arial"/>
          <w:sz w:val="18"/>
          <w:szCs w:val="18"/>
        </w:rPr>
      </w:pPr>
      <w:r w:rsidRPr="009A6158">
        <w:rPr>
          <w:rFonts w:ascii="Arial" w:hAnsi="Arial" w:cs="Arial"/>
          <w:sz w:val="18"/>
          <w:szCs w:val="18"/>
        </w:rPr>
        <w:t>Un cronograma para el cumplimiento y desarrollo del programa de ajuste, que permita identificar de manera específica todas y cada una de las metas a cumplir en el término establecido para tal fin.</w:t>
      </w:r>
    </w:p>
    <w:p w:rsidR="009A6158" w:rsidRPr="009A6158" w:rsidRDefault="009A6158" w:rsidP="00FD60E6">
      <w:pPr>
        <w:pStyle w:val="Prrafodelista"/>
        <w:numPr>
          <w:ilvl w:val="0"/>
          <w:numId w:val="19"/>
        </w:numPr>
        <w:jc w:val="both"/>
        <w:outlineLvl w:val="0"/>
        <w:rPr>
          <w:rFonts w:ascii="Arial" w:hAnsi="Arial" w:cs="Arial"/>
          <w:sz w:val="18"/>
          <w:szCs w:val="18"/>
        </w:rPr>
        <w:sectPr w:rsidR="009A6158" w:rsidRPr="009A6158" w:rsidSect="009A6158">
          <w:headerReference w:type="default" r:id="rId38"/>
          <w:footerReference w:type="default" r:id="rId39"/>
          <w:pgSz w:w="12240" w:h="18720" w:code="14"/>
          <w:pgMar w:top="1148" w:right="1134" w:bottom="1701" w:left="1701" w:header="567" w:footer="567" w:gutter="0"/>
          <w:paperSrc w:first="15"/>
          <w:pgNumType w:start="81"/>
          <w:cols w:space="720"/>
          <w:noEndnote/>
          <w:docGrid w:linePitch="272"/>
        </w:sectPr>
      </w:pPr>
    </w:p>
    <w:p w:rsidR="009A6158" w:rsidRPr="00700E68" w:rsidRDefault="009A6158" w:rsidP="009A6158">
      <w:pPr>
        <w:pStyle w:val="Prrafodelista"/>
        <w:jc w:val="both"/>
        <w:outlineLvl w:val="0"/>
        <w:rPr>
          <w:rFonts w:ascii="Arial" w:hAnsi="Arial" w:cs="Arial"/>
          <w:sz w:val="18"/>
          <w:szCs w:val="18"/>
        </w:rPr>
      </w:pPr>
      <w:bookmarkStart w:id="7" w:name="_GoBack"/>
      <w:bookmarkEnd w:id="7"/>
    </w:p>
    <w:p w:rsidR="00ED2658" w:rsidRPr="00700E68" w:rsidRDefault="00ED2658" w:rsidP="00FD60E6">
      <w:pPr>
        <w:jc w:val="both"/>
        <w:outlineLvl w:val="0"/>
        <w:rPr>
          <w:rFonts w:ascii="Arial" w:hAnsi="Arial" w:cs="Arial"/>
          <w:sz w:val="18"/>
          <w:szCs w:val="18"/>
        </w:rPr>
      </w:pPr>
    </w:p>
    <w:p w:rsidR="00ED2658" w:rsidRPr="00700E68" w:rsidRDefault="00282E07" w:rsidP="00FD60E6">
      <w:pPr>
        <w:jc w:val="both"/>
        <w:outlineLvl w:val="0"/>
        <w:rPr>
          <w:rFonts w:ascii="Arial" w:hAnsi="Arial" w:cs="Arial"/>
          <w:sz w:val="18"/>
          <w:szCs w:val="18"/>
        </w:rPr>
      </w:pPr>
      <w:r w:rsidRPr="00700E68">
        <w:rPr>
          <w:rFonts w:ascii="Arial" w:hAnsi="Arial" w:cs="Arial"/>
          <w:noProof/>
          <w:snapToGrid/>
          <w:sz w:val="18"/>
          <w:szCs w:val="18"/>
          <w:lang w:val="es-CO" w:eastAsia="es-CO"/>
        </w:rPr>
        <mc:AlternateContent>
          <mc:Choice Requires="wps">
            <w:drawing>
              <wp:anchor distT="0" distB="0" distL="114300" distR="114300" simplePos="0" relativeHeight="251687936" behindDoc="0" locked="0" layoutInCell="1" allowOverlap="1" wp14:anchorId="218EC3D1" wp14:editId="7CFAEE28">
                <wp:simplePos x="0" y="0"/>
                <wp:positionH relativeFrom="column">
                  <wp:posOffset>-58420</wp:posOffset>
                </wp:positionH>
                <wp:positionV relativeFrom="paragraph">
                  <wp:posOffset>24130</wp:posOffset>
                </wp:positionV>
                <wp:extent cx="0" cy="9903460"/>
                <wp:effectExtent l="0" t="0" r="19050" b="2159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3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7" o:spid="_x0000_s1026" type="#_x0000_t32" style="position:absolute;margin-left:-4.6pt;margin-top:1.9pt;width:0;height:77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"/>
            </w:pict>
          </mc:Fallback>
        </mc:AlternateContent>
      </w:r>
      <w:r w:rsidR="00ED2658" w:rsidRPr="00700E68">
        <w:rPr>
          <w:rFonts w:ascii="Arial" w:hAnsi="Arial" w:cs="Arial"/>
          <w:sz w:val="18"/>
          <w:szCs w:val="18"/>
        </w:rPr>
        <w:t>En todo caso, el p</w:t>
      </w:r>
      <w:r w:rsidR="006B073F" w:rsidRPr="00700E68">
        <w:rPr>
          <w:rFonts w:ascii="Arial" w:hAnsi="Arial" w:cs="Arial"/>
          <w:sz w:val="18"/>
          <w:szCs w:val="18"/>
        </w:rPr>
        <w:t>lan</w:t>
      </w:r>
      <w:r w:rsidR="00ED2658" w:rsidRPr="00700E68">
        <w:rPr>
          <w:rFonts w:ascii="Arial" w:hAnsi="Arial" w:cs="Arial"/>
          <w:sz w:val="18"/>
          <w:szCs w:val="18"/>
        </w:rPr>
        <w:t xml:space="preserve"> de ajuste que se presente a consideración de</w:t>
      </w:r>
      <w:r w:rsidR="0005682F" w:rsidRPr="00700E68">
        <w:rPr>
          <w:rFonts w:ascii="Arial" w:hAnsi="Arial" w:cs="Arial"/>
          <w:sz w:val="18"/>
          <w:szCs w:val="18"/>
        </w:rPr>
        <w:t xml:space="preserve"> </w:t>
      </w:r>
      <w:r w:rsidR="002A56FB" w:rsidRPr="00700E68">
        <w:rPr>
          <w:rFonts w:ascii="Arial" w:hAnsi="Arial" w:cs="Arial"/>
          <w:sz w:val="18"/>
          <w:szCs w:val="18"/>
        </w:rPr>
        <w:t>la SFC</w:t>
      </w:r>
      <w:r w:rsidR="0005682F" w:rsidRPr="00700E68">
        <w:rPr>
          <w:rFonts w:ascii="Arial" w:hAnsi="Arial" w:cs="Arial"/>
          <w:sz w:val="18"/>
          <w:szCs w:val="18"/>
        </w:rPr>
        <w:t xml:space="preserve"> no puede </w:t>
      </w:r>
      <w:r w:rsidR="006B073F" w:rsidRPr="00700E68">
        <w:rPr>
          <w:rFonts w:ascii="Arial" w:hAnsi="Arial" w:cs="Arial"/>
          <w:sz w:val="18"/>
          <w:szCs w:val="18"/>
        </w:rPr>
        <w:t>tener</w:t>
      </w:r>
      <w:r w:rsidR="00827568" w:rsidRPr="00700E68">
        <w:rPr>
          <w:rFonts w:ascii="Arial" w:hAnsi="Arial" w:cs="Arial"/>
          <w:sz w:val="18"/>
          <w:szCs w:val="18"/>
        </w:rPr>
        <w:t xml:space="preserve"> previsto</w:t>
      </w:r>
      <w:r w:rsidR="00ED2658" w:rsidRPr="00700E68">
        <w:rPr>
          <w:rFonts w:ascii="Arial" w:hAnsi="Arial" w:cs="Arial"/>
          <w:sz w:val="18"/>
          <w:szCs w:val="18"/>
        </w:rPr>
        <w:t xml:space="preserve"> un período superior a un año</w:t>
      </w:r>
      <w:r w:rsidR="00827568" w:rsidRPr="00700E68">
        <w:rPr>
          <w:rFonts w:ascii="Arial" w:hAnsi="Arial" w:cs="Arial"/>
          <w:sz w:val="18"/>
          <w:szCs w:val="18"/>
        </w:rPr>
        <w:t>,</w:t>
      </w:r>
      <w:r w:rsidR="00ED2658" w:rsidRPr="00700E68">
        <w:rPr>
          <w:rFonts w:ascii="Arial" w:hAnsi="Arial" w:cs="Arial"/>
          <w:sz w:val="18"/>
          <w:szCs w:val="18"/>
        </w:rPr>
        <w:t xml:space="preserve"> contado</w:t>
      </w:r>
      <w:r w:rsidR="00827568" w:rsidRPr="00700E68">
        <w:rPr>
          <w:rFonts w:ascii="Arial" w:hAnsi="Arial" w:cs="Arial"/>
          <w:sz w:val="18"/>
          <w:szCs w:val="18"/>
        </w:rPr>
        <w:t xml:space="preserve"> a partir</w:t>
      </w:r>
      <w:r w:rsidR="00ED2658" w:rsidRPr="00700E68">
        <w:rPr>
          <w:rFonts w:ascii="Arial" w:hAnsi="Arial" w:cs="Arial"/>
          <w:sz w:val="18"/>
          <w:szCs w:val="18"/>
        </w:rPr>
        <w:t xml:space="preserve"> desde la fecha de celebración del </w:t>
      </w:r>
      <w:r w:rsidR="00207051" w:rsidRPr="00700E68">
        <w:rPr>
          <w:rFonts w:ascii="Arial" w:hAnsi="Arial" w:cs="Arial"/>
          <w:sz w:val="18"/>
          <w:szCs w:val="18"/>
        </w:rPr>
        <w:t>plan</w:t>
      </w:r>
      <w:r w:rsidR="00795EB5" w:rsidRPr="00700E68">
        <w:rPr>
          <w:rFonts w:ascii="Arial" w:hAnsi="Arial" w:cs="Arial"/>
          <w:sz w:val="18"/>
          <w:szCs w:val="18"/>
        </w:rPr>
        <w:t>.</w:t>
      </w:r>
    </w:p>
    <w:p w:rsidR="00795EB5" w:rsidRPr="00700E68" w:rsidRDefault="00795EB5" w:rsidP="00FD60E6">
      <w:pPr>
        <w:jc w:val="both"/>
        <w:outlineLvl w:val="0"/>
        <w:rPr>
          <w:rFonts w:ascii="Arial" w:hAnsi="Arial" w:cs="Arial"/>
          <w:sz w:val="18"/>
          <w:szCs w:val="18"/>
        </w:rPr>
      </w:pPr>
    </w:p>
    <w:p w:rsidR="00DA7A47" w:rsidRPr="00700E68" w:rsidRDefault="00DA7A47" w:rsidP="00FD60E6">
      <w:pPr>
        <w:jc w:val="both"/>
        <w:outlineLvl w:val="0"/>
        <w:rPr>
          <w:rFonts w:ascii="Arial" w:hAnsi="Arial" w:cs="Arial"/>
          <w:sz w:val="18"/>
          <w:szCs w:val="18"/>
        </w:rPr>
      </w:pPr>
      <w:r w:rsidRPr="00700E68">
        <w:rPr>
          <w:rFonts w:ascii="Arial" w:hAnsi="Arial" w:cs="Arial"/>
          <w:sz w:val="18"/>
          <w:szCs w:val="18"/>
        </w:rPr>
        <w:t>Suspensión del P</w:t>
      </w:r>
      <w:r w:rsidR="006B073F" w:rsidRPr="00700E68">
        <w:rPr>
          <w:rFonts w:ascii="Arial" w:hAnsi="Arial" w:cs="Arial"/>
          <w:sz w:val="18"/>
          <w:szCs w:val="18"/>
        </w:rPr>
        <w:t>lan</w:t>
      </w:r>
      <w:r w:rsidRPr="00700E68">
        <w:rPr>
          <w:rFonts w:ascii="Arial" w:hAnsi="Arial" w:cs="Arial"/>
          <w:sz w:val="18"/>
          <w:szCs w:val="18"/>
        </w:rPr>
        <w:t xml:space="preserve"> de Ajuste y Sanciones. La SFC impondrá a las entidad</w:t>
      </w:r>
      <w:r w:rsidR="003978E3" w:rsidRPr="00700E68">
        <w:rPr>
          <w:rFonts w:ascii="Arial" w:hAnsi="Arial" w:cs="Arial"/>
          <w:sz w:val="18"/>
          <w:szCs w:val="18"/>
        </w:rPr>
        <w:t>es, sujeta</w:t>
      </w:r>
      <w:r w:rsidR="006B073F" w:rsidRPr="00700E68">
        <w:rPr>
          <w:rFonts w:ascii="Arial" w:hAnsi="Arial" w:cs="Arial"/>
          <w:sz w:val="18"/>
          <w:szCs w:val="18"/>
        </w:rPr>
        <w:t>s a plane</w:t>
      </w:r>
      <w:r w:rsidRPr="00700E68">
        <w:rPr>
          <w:rFonts w:ascii="Arial" w:hAnsi="Arial" w:cs="Arial"/>
          <w:sz w:val="18"/>
          <w:szCs w:val="18"/>
        </w:rPr>
        <w:t>s de ajuste, las sanciones correspondientes en la forma ordinaria, sin considerar el hecho de la ejecu</w:t>
      </w:r>
      <w:r w:rsidR="006B073F" w:rsidRPr="00700E68">
        <w:rPr>
          <w:rFonts w:ascii="Arial" w:hAnsi="Arial" w:cs="Arial"/>
          <w:sz w:val="18"/>
          <w:szCs w:val="18"/>
        </w:rPr>
        <w:t>ción parcial o incompleta del plan</w:t>
      </w:r>
      <w:r w:rsidRPr="00700E68">
        <w:rPr>
          <w:rFonts w:ascii="Arial" w:hAnsi="Arial" w:cs="Arial"/>
          <w:sz w:val="18"/>
          <w:szCs w:val="18"/>
        </w:rPr>
        <w:t xml:space="preserve"> de ajuste y sin perjuicio de las demás sanciones o medidas administrativas a que haya lugar, cuando verifique el incumplimiento de cualquiera de las condiciones, metas o compromisos del citado programa.</w:t>
      </w:r>
    </w:p>
    <w:p w:rsidR="00D03A50" w:rsidRPr="00700E68" w:rsidRDefault="00D03A50" w:rsidP="00FD60E6">
      <w:pPr>
        <w:jc w:val="both"/>
        <w:outlineLvl w:val="0"/>
        <w:rPr>
          <w:rFonts w:ascii="Arial" w:hAnsi="Arial" w:cs="Arial"/>
          <w:sz w:val="18"/>
          <w:szCs w:val="18"/>
        </w:rPr>
      </w:pPr>
    </w:p>
    <w:p w:rsidR="00D03A50" w:rsidRPr="00700E68" w:rsidRDefault="00D03A50" w:rsidP="00FD60E6">
      <w:pPr>
        <w:jc w:val="both"/>
        <w:outlineLvl w:val="0"/>
        <w:rPr>
          <w:rFonts w:ascii="Arial" w:hAnsi="Arial" w:cs="Arial"/>
          <w:sz w:val="18"/>
          <w:szCs w:val="18"/>
        </w:rPr>
      </w:pPr>
      <w:r w:rsidRPr="00700E68">
        <w:rPr>
          <w:rFonts w:ascii="Arial" w:hAnsi="Arial" w:cs="Arial"/>
          <w:sz w:val="18"/>
          <w:szCs w:val="18"/>
        </w:rPr>
        <w:t>Bajo ningún entendido la aprobación del plan de ajuste que presente</w:t>
      </w:r>
      <w:r w:rsidR="00FF5A50" w:rsidRPr="00700E68">
        <w:rPr>
          <w:rFonts w:ascii="Arial" w:hAnsi="Arial" w:cs="Arial"/>
          <w:sz w:val="18"/>
          <w:szCs w:val="18"/>
        </w:rPr>
        <w:t>n las entidades</w:t>
      </w:r>
      <w:r w:rsidR="003978E3" w:rsidRPr="00700E68">
        <w:rPr>
          <w:rFonts w:ascii="Arial" w:hAnsi="Arial" w:cs="Arial"/>
          <w:sz w:val="18"/>
          <w:szCs w:val="18"/>
        </w:rPr>
        <w:t>,</w:t>
      </w:r>
      <w:r w:rsidR="006B073F" w:rsidRPr="00700E68">
        <w:rPr>
          <w:rFonts w:ascii="Arial" w:hAnsi="Arial" w:cs="Arial"/>
          <w:sz w:val="18"/>
          <w:szCs w:val="18"/>
        </w:rPr>
        <w:t xml:space="preserve"> las  exime</w:t>
      </w:r>
      <w:r w:rsidRPr="00700E68">
        <w:rPr>
          <w:rFonts w:ascii="Arial" w:hAnsi="Arial" w:cs="Arial"/>
          <w:sz w:val="18"/>
          <w:szCs w:val="18"/>
        </w:rPr>
        <w:t xml:space="preserve"> de la responsabilidad que les corresponde por el cumplimiento de las relaciones de solvencia.</w:t>
      </w:r>
    </w:p>
    <w:p w:rsidR="00DA7A47" w:rsidRPr="00700E68" w:rsidRDefault="00DA7A47" w:rsidP="00FD60E6">
      <w:pPr>
        <w:jc w:val="both"/>
        <w:outlineLvl w:val="0"/>
        <w:rPr>
          <w:rFonts w:ascii="Arial" w:hAnsi="Arial" w:cs="Arial"/>
          <w:sz w:val="18"/>
          <w:szCs w:val="18"/>
        </w:rPr>
      </w:pPr>
    </w:p>
    <w:p w:rsidR="00D148D9" w:rsidRPr="00700E68" w:rsidRDefault="009E3550" w:rsidP="00FD60E6">
      <w:pPr>
        <w:pStyle w:val="Prrafodelista"/>
        <w:numPr>
          <w:ilvl w:val="0"/>
          <w:numId w:val="18"/>
        </w:numPr>
        <w:ind w:left="567" w:hanging="567"/>
        <w:jc w:val="both"/>
        <w:outlineLvl w:val="0"/>
        <w:rPr>
          <w:rFonts w:ascii="Arial" w:hAnsi="Arial" w:cs="Arial"/>
          <w:b/>
          <w:sz w:val="18"/>
          <w:szCs w:val="18"/>
        </w:rPr>
      </w:pPr>
      <w:r w:rsidRPr="00700E68">
        <w:rPr>
          <w:rFonts w:ascii="Arial" w:hAnsi="Arial" w:cs="Arial"/>
          <w:b/>
          <w:sz w:val="18"/>
          <w:szCs w:val="18"/>
        </w:rPr>
        <w:t xml:space="preserve">    </w:t>
      </w:r>
      <w:r w:rsidR="00D148D9" w:rsidRPr="00700E68">
        <w:rPr>
          <w:rFonts w:ascii="Arial" w:hAnsi="Arial" w:cs="Arial"/>
          <w:b/>
          <w:sz w:val="18"/>
          <w:szCs w:val="18"/>
        </w:rPr>
        <w:t>REPORTE DE LA INFORMACIÓN</w:t>
      </w:r>
      <w:bookmarkEnd w:id="6"/>
    </w:p>
    <w:p w:rsidR="00D148D9" w:rsidRPr="00700E68" w:rsidRDefault="00D148D9" w:rsidP="00FD60E6">
      <w:pPr>
        <w:jc w:val="both"/>
        <w:rPr>
          <w:rFonts w:ascii="Arial" w:hAnsi="Arial" w:cs="Arial"/>
          <w:sz w:val="18"/>
          <w:szCs w:val="18"/>
        </w:rPr>
      </w:pPr>
    </w:p>
    <w:p w:rsidR="00411530" w:rsidRPr="00700E68" w:rsidRDefault="00D148D9" w:rsidP="00FD60E6">
      <w:pPr>
        <w:jc w:val="both"/>
        <w:rPr>
          <w:rFonts w:ascii="Arial" w:hAnsi="Arial" w:cs="Arial"/>
          <w:spacing w:val="20"/>
          <w:sz w:val="18"/>
          <w:szCs w:val="18"/>
          <w:lang w:val="es-CO"/>
        </w:rPr>
      </w:pPr>
      <w:r w:rsidRPr="00700E68">
        <w:rPr>
          <w:rFonts w:ascii="Arial" w:hAnsi="Arial" w:cs="Arial"/>
          <w:sz w:val="18"/>
          <w:szCs w:val="18"/>
        </w:rPr>
        <w:t>Para el efecto, la</w:t>
      </w:r>
      <w:r w:rsidR="00EE01B3" w:rsidRPr="00700E68">
        <w:rPr>
          <w:rFonts w:ascii="Arial" w:hAnsi="Arial" w:cs="Arial"/>
          <w:sz w:val="18"/>
          <w:szCs w:val="18"/>
        </w:rPr>
        <w:t xml:space="preserve">s entidades de las que trata el presente </w:t>
      </w:r>
      <w:r w:rsidR="00FF5A50" w:rsidRPr="00700E68">
        <w:rPr>
          <w:rFonts w:ascii="Arial" w:hAnsi="Arial" w:cs="Arial"/>
          <w:sz w:val="18"/>
          <w:szCs w:val="18"/>
        </w:rPr>
        <w:t>C</w:t>
      </w:r>
      <w:r w:rsidR="00EE01B3" w:rsidRPr="00700E68">
        <w:rPr>
          <w:rFonts w:ascii="Arial" w:hAnsi="Arial" w:cs="Arial"/>
          <w:sz w:val="18"/>
          <w:szCs w:val="18"/>
        </w:rPr>
        <w:t xml:space="preserve">apítulo </w:t>
      </w:r>
      <w:r w:rsidRPr="00700E68">
        <w:rPr>
          <w:rFonts w:ascii="Arial" w:hAnsi="Arial" w:cs="Arial"/>
          <w:sz w:val="18"/>
          <w:szCs w:val="18"/>
        </w:rPr>
        <w:t>deben tener en cuenta las instrucciones impartidas e</w:t>
      </w:r>
      <w:r w:rsidR="000D58B7" w:rsidRPr="00700E68">
        <w:rPr>
          <w:rFonts w:ascii="Arial" w:hAnsi="Arial" w:cs="Arial"/>
          <w:sz w:val="18"/>
          <w:szCs w:val="18"/>
        </w:rPr>
        <w:t>n el Formato 110 (Proforma F.1000-48 “</w:t>
      </w:r>
      <w:r w:rsidRPr="00700E68">
        <w:rPr>
          <w:rFonts w:ascii="Arial" w:hAnsi="Arial" w:cs="Arial"/>
          <w:sz w:val="18"/>
          <w:szCs w:val="18"/>
        </w:rPr>
        <w:t>Cuentas No PUC para el cálculo del patrimonio</w:t>
      </w:r>
      <w:r w:rsidR="000D58B7" w:rsidRPr="00700E68">
        <w:rPr>
          <w:rFonts w:ascii="Arial" w:hAnsi="Arial" w:cs="Arial"/>
          <w:sz w:val="18"/>
          <w:szCs w:val="18"/>
        </w:rPr>
        <w:t xml:space="preserve"> adecuado”) y el Formato 301 (</w:t>
      </w:r>
      <w:r w:rsidR="006974CE" w:rsidRPr="00700E68">
        <w:rPr>
          <w:rFonts w:ascii="Arial" w:hAnsi="Arial" w:cs="Arial"/>
          <w:sz w:val="18"/>
          <w:szCs w:val="18"/>
        </w:rPr>
        <w:t>Pro</w:t>
      </w:r>
      <w:r w:rsidR="000D58B7" w:rsidRPr="00700E68">
        <w:rPr>
          <w:rFonts w:ascii="Arial" w:hAnsi="Arial" w:cs="Arial"/>
          <w:sz w:val="18"/>
          <w:szCs w:val="18"/>
        </w:rPr>
        <w:t>forma F.0000-97 “</w:t>
      </w:r>
      <w:r w:rsidRPr="00700E68">
        <w:rPr>
          <w:rFonts w:ascii="Arial" w:hAnsi="Arial" w:cs="Arial"/>
          <w:sz w:val="18"/>
          <w:szCs w:val="18"/>
        </w:rPr>
        <w:t>Declaración del Cont</w:t>
      </w:r>
      <w:r w:rsidR="000D58B7" w:rsidRPr="00700E68">
        <w:rPr>
          <w:rFonts w:ascii="Arial" w:hAnsi="Arial" w:cs="Arial"/>
          <w:sz w:val="18"/>
          <w:szCs w:val="18"/>
        </w:rPr>
        <w:t>rol de Ley Margen de Solvencia”)</w:t>
      </w:r>
      <w:r w:rsidR="002A56FB" w:rsidRPr="00700E68">
        <w:rPr>
          <w:rFonts w:ascii="Arial" w:hAnsi="Arial" w:cs="Arial"/>
          <w:sz w:val="18"/>
          <w:szCs w:val="18"/>
        </w:rPr>
        <w:t xml:space="preserve"> y demás normas que lo modifiquen o sustituyan</w:t>
      </w:r>
      <w:r w:rsidRPr="00700E68">
        <w:rPr>
          <w:rFonts w:ascii="Arial" w:hAnsi="Arial" w:cs="Arial"/>
          <w:sz w:val="18"/>
          <w:szCs w:val="18"/>
        </w:rPr>
        <w:t>.</w:t>
      </w:r>
    </w:p>
    <w:sectPr w:rsidR="00411530" w:rsidRPr="00700E68" w:rsidSect="009A6158">
      <w:headerReference w:type="default" r:id="rId40"/>
      <w:footerReference w:type="default" r:id="rId41"/>
      <w:pgSz w:w="12240" w:h="18720" w:code="14"/>
      <w:pgMar w:top="1148" w:right="1134" w:bottom="1701" w:left="1701" w:header="567" w:footer="567" w:gutter="0"/>
      <w:paperSrc w:first="15"/>
      <w:pgNumType w:start="82"/>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749" w:rsidRDefault="00700749">
      <w:r>
        <w:separator/>
      </w:r>
    </w:p>
  </w:endnote>
  <w:endnote w:type="continuationSeparator" w:id="0">
    <w:p w:rsidR="00700749" w:rsidRDefault="0070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A23" w:rsidRPr="00532447" w:rsidRDefault="00E60A23" w:rsidP="000642DE">
    <w:pPr>
      <w:pStyle w:val="Piedepgina"/>
      <w:tabs>
        <w:tab w:val="clear" w:pos="8504"/>
        <w:tab w:val="right" w:pos="9356"/>
      </w:tabs>
      <w:rPr>
        <w:sz w:val="18"/>
      </w:rPr>
    </w:pPr>
    <w:r w:rsidRPr="00532447">
      <w:rPr>
        <w:rFonts w:ascii="Arial" w:hAnsi="Arial"/>
        <w:b/>
        <w:sz w:val="18"/>
      </w:rPr>
      <w:t>Circular</w:t>
    </w:r>
    <w:r w:rsidR="003E70F5">
      <w:rPr>
        <w:rFonts w:ascii="Arial" w:hAnsi="Arial"/>
        <w:b/>
        <w:sz w:val="18"/>
      </w:rPr>
      <w:t xml:space="preserve"> Externa </w:t>
    </w:r>
    <w:r w:rsidR="00292080">
      <w:rPr>
        <w:rFonts w:ascii="Arial" w:hAnsi="Arial"/>
        <w:b/>
        <w:sz w:val="18"/>
      </w:rPr>
      <w:t>020</w:t>
    </w:r>
    <w:r w:rsidR="003E70F5">
      <w:rPr>
        <w:rFonts w:ascii="Arial" w:hAnsi="Arial"/>
        <w:b/>
        <w:sz w:val="18"/>
      </w:rPr>
      <w:t xml:space="preserve">  de 2013</w:t>
    </w:r>
    <w:r w:rsidR="003E70F5">
      <w:rPr>
        <w:rFonts w:ascii="Arial" w:hAnsi="Arial"/>
        <w:b/>
        <w:sz w:val="18"/>
      </w:rPr>
      <w:tab/>
    </w:r>
    <w:r w:rsidR="003E70F5">
      <w:rPr>
        <w:rFonts w:ascii="Arial" w:hAnsi="Arial"/>
        <w:b/>
        <w:sz w:val="18"/>
      </w:rPr>
      <w:tab/>
      <w:t>Junio</w:t>
    </w:r>
    <w:r w:rsidRPr="00532447">
      <w:rPr>
        <w:rFonts w:ascii="Arial" w:hAnsi="Arial"/>
        <w:b/>
        <w:sz w:val="18"/>
      </w:rPr>
      <w:t xml:space="preserve"> 2013</w:t>
    </w:r>
  </w:p>
  <w:p w:rsidR="00E60A23" w:rsidRPr="000642DE" w:rsidRDefault="00E60A23" w:rsidP="000642DE">
    <w:pPr>
      <w:pStyle w:val="Piedep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532447" w:rsidRDefault="000D4234" w:rsidP="000642DE">
    <w:pPr>
      <w:pStyle w:val="Piedepgina"/>
      <w:tabs>
        <w:tab w:val="clear" w:pos="8504"/>
        <w:tab w:val="right" w:pos="9356"/>
      </w:tabs>
      <w:rPr>
        <w:sz w:val="18"/>
      </w:rPr>
    </w:pPr>
    <w:r w:rsidRPr="00532447">
      <w:rPr>
        <w:rFonts w:ascii="Arial" w:hAnsi="Arial"/>
        <w:b/>
        <w:sz w:val="18"/>
      </w:rPr>
      <w:t>Circular</w:t>
    </w:r>
    <w:r>
      <w:rPr>
        <w:rFonts w:ascii="Arial" w:hAnsi="Arial"/>
        <w:b/>
        <w:sz w:val="18"/>
      </w:rPr>
      <w:t xml:space="preserve"> Externa 020  de 2013</w:t>
    </w:r>
    <w:r>
      <w:rPr>
        <w:rFonts w:ascii="Arial" w:hAnsi="Arial"/>
        <w:b/>
        <w:sz w:val="18"/>
      </w:rPr>
      <w:tab/>
    </w:r>
    <w:r>
      <w:rPr>
        <w:rFonts w:ascii="Arial" w:hAnsi="Arial"/>
        <w:b/>
        <w:sz w:val="18"/>
      </w:rPr>
      <w:tab/>
      <w:t>Junio</w:t>
    </w:r>
    <w:r w:rsidRPr="00532447">
      <w:rPr>
        <w:rFonts w:ascii="Arial" w:hAnsi="Arial"/>
        <w:b/>
        <w:sz w:val="18"/>
      </w:rPr>
      <w:t xml:space="preserve"> 2013</w:t>
    </w:r>
  </w:p>
  <w:p w:rsidR="000D4234" w:rsidRPr="000642DE" w:rsidRDefault="000D4234" w:rsidP="000642DE">
    <w:pPr>
      <w:pStyle w:val="Piedepgin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58" w:rsidRPr="00532447" w:rsidRDefault="009A6158" w:rsidP="009A6158">
    <w:pPr>
      <w:pStyle w:val="Piedepgina"/>
      <w:tabs>
        <w:tab w:val="clear" w:pos="8504"/>
        <w:tab w:val="right" w:pos="9356"/>
      </w:tabs>
      <w:rPr>
        <w:sz w:val="18"/>
      </w:rPr>
    </w:pPr>
    <w:r w:rsidRPr="00532447">
      <w:rPr>
        <w:rFonts w:ascii="Arial" w:hAnsi="Arial"/>
        <w:b/>
        <w:sz w:val="18"/>
      </w:rPr>
      <w:t>Circular</w:t>
    </w:r>
    <w:r>
      <w:rPr>
        <w:rFonts w:ascii="Arial" w:hAnsi="Arial"/>
        <w:b/>
        <w:sz w:val="18"/>
      </w:rPr>
      <w:t xml:space="preserve"> Externa  032  de 2013</w:t>
    </w:r>
    <w:r>
      <w:rPr>
        <w:rFonts w:ascii="Arial" w:hAnsi="Arial"/>
        <w:b/>
        <w:sz w:val="18"/>
      </w:rPr>
      <w:tab/>
    </w:r>
    <w:r>
      <w:rPr>
        <w:rFonts w:ascii="Arial" w:hAnsi="Arial"/>
        <w:b/>
        <w:sz w:val="18"/>
      </w:rPr>
      <w:tab/>
      <w:t>Noviembre</w:t>
    </w:r>
    <w:r w:rsidRPr="00532447">
      <w:rPr>
        <w:rFonts w:ascii="Arial" w:hAnsi="Arial"/>
        <w:b/>
        <w:sz w:val="18"/>
      </w:rPr>
      <w:t xml:space="preserve"> 2013</w:t>
    </w:r>
  </w:p>
  <w:p w:rsidR="009A6158" w:rsidRPr="000642DE" w:rsidRDefault="009A6158" w:rsidP="000642DE">
    <w:pPr>
      <w:pStyle w:val="Piedepgin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58" w:rsidRPr="00532447" w:rsidRDefault="009A6158" w:rsidP="000642DE">
    <w:pPr>
      <w:pStyle w:val="Piedepgina"/>
      <w:tabs>
        <w:tab w:val="clear" w:pos="8504"/>
        <w:tab w:val="right" w:pos="9356"/>
      </w:tabs>
      <w:rPr>
        <w:sz w:val="18"/>
      </w:rPr>
    </w:pPr>
    <w:r w:rsidRPr="00532447">
      <w:rPr>
        <w:rFonts w:ascii="Arial" w:hAnsi="Arial"/>
        <w:b/>
        <w:sz w:val="18"/>
      </w:rPr>
      <w:t>Circular</w:t>
    </w:r>
    <w:r>
      <w:rPr>
        <w:rFonts w:ascii="Arial" w:hAnsi="Arial"/>
        <w:b/>
        <w:sz w:val="18"/>
      </w:rPr>
      <w:t xml:space="preserve"> Externa 020  de 2013</w:t>
    </w:r>
    <w:r>
      <w:rPr>
        <w:rFonts w:ascii="Arial" w:hAnsi="Arial"/>
        <w:b/>
        <w:sz w:val="18"/>
      </w:rPr>
      <w:tab/>
    </w:r>
    <w:r>
      <w:rPr>
        <w:rFonts w:ascii="Arial" w:hAnsi="Arial"/>
        <w:b/>
        <w:sz w:val="18"/>
      </w:rPr>
      <w:tab/>
      <w:t>Junio</w:t>
    </w:r>
    <w:r w:rsidRPr="00532447">
      <w:rPr>
        <w:rFonts w:ascii="Arial" w:hAnsi="Arial"/>
        <w:b/>
        <w:sz w:val="18"/>
      </w:rPr>
      <w:t xml:space="preserve"> 2013</w:t>
    </w:r>
  </w:p>
  <w:p w:rsidR="009A6158" w:rsidRPr="000642DE" w:rsidRDefault="009A6158" w:rsidP="000642DE">
    <w:pPr>
      <w:pStyle w:val="Piedepgin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58" w:rsidRPr="00532447" w:rsidRDefault="009A6158" w:rsidP="009A6158">
    <w:pPr>
      <w:pStyle w:val="Piedepgina"/>
      <w:tabs>
        <w:tab w:val="clear" w:pos="8504"/>
        <w:tab w:val="right" w:pos="9356"/>
      </w:tabs>
      <w:rPr>
        <w:sz w:val="18"/>
      </w:rPr>
    </w:pPr>
    <w:r w:rsidRPr="00532447">
      <w:rPr>
        <w:rFonts w:ascii="Arial" w:hAnsi="Arial"/>
        <w:b/>
        <w:sz w:val="18"/>
      </w:rPr>
      <w:t>Circular</w:t>
    </w:r>
    <w:r>
      <w:rPr>
        <w:rFonts w:ascii="Arial" w:hAnsi="Arial"/>
        <w:b/>
        <w:sz w:val="18"/>
      </w:rPr>
      <w:t xml:space="preserve"> Externa  032  de 2013</w:t>
    </w:r>
    <w:r>
      <w:rPr>
        <w:rFonts w:ascii="Arial" w:hAnsi="Arial"/>
        <w:b/>
        <w:sz w:val="18"/>
      </w:rPr>
      <w:tab/>
    </w:r>
    <w:r>
      <w:rPr>
        <w:rFonts w:ascii="Arial" w:hAnsi="Arial"/>
        <w:b/>
        <w:sz w:val="18"/>
      </w:rPr>
      <w:tab/>
      <w:t>Noviembre</w:t>
    </w:r>
    <w:r w:rsidRPr="00532447">
      <w:rPr>
        <w:rFonts w:ascii="Arial" w:hAnsi="Arial"/>
        <w:b/>
        <w:sz w:val="18"/>
      </w:rPr>
      <w:t xml:space="preserve"> 2013</w:t>
    </w:r>
  </w:p>
  <w:p w:rsidR="009A6158" w:rsidRPr="000642DE" w:rsidRDefault="009A6158" w:rsidP="000642DE">
    <w:pPr>
      <w:pStyle w:val="Piedepgin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58" w:rsidRPr="00532447" w:rsidRDefault="009A6158" w:rsidP="000642DE">
    <w:pPr>
      <w:pStyle w:val="Piedepgina"/>
      <w:tabs>
        <w:tab w:val="clear" w:pos="8504"/>
        <w:tab w:val="right" w:pos="9356"/>
      </w:tabs>
      <w:rPr>
        <w:sz w:val="18"/>
      </w:rPr>
    </w:pPr>
    <w:r w:rsidRPr="00532447">
      <w:rPr>
        <w:rFonts w:ascii="Arial" w:hAnsi="Arial"/>
        <w:b/>
        <w:sz w:val="18"/>
      </w:rPr>
      <w:t>Circular</w:t>
    </w:r>
    <w:r>
      <w:rPr>
        <w:rFonts w:ascii="Arial" w:hAnsi="Arial"/>
        <w:b/>
        <w:sz w:val="18"/>
      </w:rPr>
      <w:t xml:space="preserve"> Externa 020  de 2013</w:t>
    </w:r>
    <w:r>
      <w:rPr>
        <w:rFonts w:ascii="Arial" w:hAnsi="Arial"/>
        <w:b/>
        <w:sz w:val="18"/>
      </w:rPr>
      <w:tab/>
    </w:r>
    <w:r>
      <w:rPr>
        <w:rFonts w:ascii="Arial" w:hAnsi="Arial"/>
        <w:b/>
        <w:sz w:val="18"/>
      </w:rPr>
      <w:tab/>
      <w:t>Junio</w:t>
    </w:r>
    <w:r w:rsidRPr="00532447">
      <w:rPr>
        <w:rFonts w:ascii="Arial" w:hAnsi="Arial"/>
        <w:b/>
        <w:sz w:val="18"/>
      </w:rPr>
      <w:t xml:space="preserve"> 2013</w:t>
    </w:r>
  </w:p>
  <w:p w:rsidR="009A6158" w:rsidRPr="000642DE" w:rsidRDefault="009A6158" w:rsidP="000642DE">
    <w:pPr>
      <w:pStyle w:val="Piedepgin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58" w:rsidRPr="00532447" w:rsidRDefault="009A6158" w:rsidP="009A6158">
    <w:pPr>
      <w:pStyle w:val="Piedepgina"/>
      <w:tabs>
        <w:tab w:val="clear" w:pos="8504"/>
        <w:tab w:val="right" w:pos="9356"/>
      </w:tabs>
      <w:rPr>
        <w:sz w:val="18"/>
      </w:rPr>
    </w:pPr>
    <w:r w:rsidRPr="00532447">
      <w:rPr>
        <w:rFonts w:ascii="Arial" w:hAnsi="Arial"/>
        <w:b/>
        <w:sz w:val="18"/>
      </w:rPr>
      <w:t>Circular</w:t>
    </w:r>
    <w:r>
      <w:rPr>
        <w:rFonts w:ascii="Arial" w:hAnsi="Arial"/>
        <w:b/>
        <w:sz w:val="18"/>
      </w:rPr>
      <w:t xml:space="preserve"> Externa 032  de 2013</w:t>
    </w:r>
    <w:r>
      <w:rPr>
        <w:rFonts w:ascii="Arial" w:hAnsi="Arial"/>
        <w:b/>
        <w:sz w:val="18"/>
      </w:rPr>
      <w:tab/>
    </w:r>
    <w:r>
      <w:rPr>
        <w:rFonts w:ascii="Arial" w:hAnsi="Arial"/>
        <w:b/>
        <w:sz w:val="18"/>
      </w:rPr>
      <w:tab/>
      <w:t xml:space="preserve">Noviembre </w:t>
    </w:r>
    <w:r w:rsidRPr="00532447">
      <w:rPr>
        <w:rFonts w:ascii="Arial" w:hAnsi="Arial"/>
        <w:b/>
        <w:sz w:val="18"/>
      </w:rPr>
      <w:t>2013</w:t>
    </w:r>
  </w:p>
  <w:p w:rsidR="009A6158" w:rsidRPr="000642DE" w:rsidRDefault="009A6158" w:rsidP="000642DE">
    <w:pPr>
      <w:pStyle w:val="Piedepgin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58" w:rsidRPr="00532447" w:rsidRDefault="009A6158" w:rsidP="000642DE">
    <w:pPr>
      <w:pStyle w:val="Piedepgina"/>
      <w:tabs>
        <w:tab w:val="clear" w:pos="8504"/>
        <w:tab w:val="right" w:pos="9356"/>
      </w:tabs>
      <w:rPr>
        <w:sz w:val="18"/>
      </w:rPr>
    </w:pPr>
    <w:r w:rsidRPr="00532447">
      <w:rPr>
        <w:rFonts w:ascii="Arial" w:hAnsi="Arial"/>
        <w:b/>
        <w:sz w:val="18"/>
      </w:rPr>
      <w:t>Circular</w:t>
    </w:r>
    <w:r>
      <w:rPr>
        <w:rFonts w:ascii="Arial" w:hAnsi="Arial"/>
        <w:b/>
        <w:sz w:val="18"/>
      </w:rPr>
      <w:t xml:space="preserve"> Externa 020  de 2013</w:t>
    </w:r>
    <w:r>
      <w:rPr>
        <w:rFonts w:ascii="Arial" w:hAnsi="Arial"/>
        <w:b/>
        <w:sz w:val="18"/>
      </w:rPr>
      <w:tab/>
    </w:r>
    <w:r>
      <w:rPr>
        <w:rFonts w:ascii="Arial" w:hAnsi="Arial"/>
        <w:b/>
        <w:sz w:val="18"/>
      </w:rPr>
      <w:tab/>
      <w:t>Junio</w:t>
    </w:r>
    <w:r w:rsidRPr="00532447">
      <w:rPr>
        <w:rFonts w:ascii="Arial" w:hAnsi="Arial"/>
        <w:b/>
        <w:sz w:val="18"/>
      </w:rPr>
      <w:t xml:space="preserve"> 2013</w:t>
    </w:r>
  </w:p>
  <w:p w:rsidR="009A6158" w:rsidRPr="000642DE" w:rsidRDefault="009A6158" w:rsidP="000642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532447" w:rsidRDefault="000D4234" w:rsidP="000642DE">
    <w:pPr>
      <w:pStyle w:val="Piedepgina"/>
      <w:tabs>
        <w:tab w:val="clear" w:pos="8504"/>
        <w:tab w:val="right" w:pos="9356"/>
      </w:tabs>
      <w:rPr>
        <w:sz w:val="18"/>
      </w:rPr>
    </w:pPr>
    <w:r w:rsidRPr="00532447">
      <w:rPr>
        <w:rFonts w:ascii="Arial" w:hAnsi="Arial"/>
        <w:b/>
        <w:sz w:val="18"/>
      </w:rPr>
      <w:t>Circular</w:t>
    </w:r>
    <w:r>
      <w:rPr>
        <w:rFonts w:ascii="Arial" w:hAnsi="Arial"/>
        <w:b/>
        <w:sz w:val="18"/>
      </w:rPr>
      <w:t xml:space="preserve"> Externa  032  de 2013</w:t>
    </w:r>
    <w:r>
      <w:rPr>
        <w:rFonts w:ascii="Arial" w:hAnsi="Arial"/>
        <w:b/>
        <w:sz w:val="18"/>
      </w:rPr>
      <w:tab/>
    </w:r>
    <w:r>
      <w:rPr>
        <w:rFonts w:ascii="Arial" w:hAnsi="Arial"/>
        <w:b/>
        <w:sz w:val="18"/>
      </w:rPr>
      <w:tab/>
      <w:t>Noviembre</w:t>
    </w:r>
    <w:r w:rsidRPr="00532447">
      <w:rPr>
        <w:rFonts w:ascii="Arial" w:hAnsi="Arial"/>
        <w:b/>
        <w:sz w:val="18"/>
      </w:rPr>
      <w:t xml:space="preserve"> 2013</w:t>
    </w:r>
  </w:p>
  <w:p w:rsidR="000D4234" w:rsidRPr="000642DE" w:rsidRDefault="000D4234" w:rsidP="000642D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532447" w:rsidRDefault="000D4234" w:rsidP="000642DE">
    <w:pPr>
      <w:pStyle w:val="Piedepgina"/>
      <w:tabs>
        <w:tab w:val="clear" w:pos="8504"/>
        <w:tab w:val="right" w:pos="9356"/>
      </w:tabs>
      <w:rPr>
        <w:sz w:val="18"/>
      </w:rPr>
    </w:pPr>
    <w:r w:rsidRPr="00532447">
      <w:rPr>
        <w:rFonts w:ascii="Arial" w:hAnsi="Arial"/>
        <w:b/>
        <w:sz w:val="18"/>
      </w:rPr>
      <w:t>Circular</w:t>
    </w:r>
    <w:r>
      <w:rPr>
        <w:rFonts w:ascii="Arial" w:hAnsi="Arial"/>
        <w:b/>
        <w:sz w:val="18"/>
      </w:rPr>
      <w:t xml:space="preserve"> Externa 032  de 2013</w:t>
    </w:r>
    <w:r>
      <w:rPr>
        <w:rFonts w:ascii="Arial" w:hAnsi="Arial"/>
        <w:b/>
        <w:sz w:val="18"/>
      </w:rPr>
      <w:tab/>
    </w:r>
    <w:r>
      <w:rPr>
        <w:rFonts w:ascii="Arial" w:hAnsi="Arial"/>
        <w:b/>
        <w:sz w:val="18"/>
      </w:rPr>
      <w:tab/>
      <w:t>Noviembre</w:t>
    </w:r>
    <w:r w:rsidRPr="00532447">
      <w:rPr>
        <w:rFonts w:ascii="Arial" w:hAnsi="Arial"/>
        <w:b/>
        <w:sz w:val="18"/>
      </w:rPr>
      <w:t xml:space="preserve"> 2013</w:t>
    </w:r>
  </w:p>
  <w:p w:rsidR="000D4234" w:rsidRPr="000642DE" w:rsidRDefault="000D4234" w:rsidP="000642D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532447" w:rsidRDefault="000D4234" w:rsidP="000642DE">
    <w:pPr>
      <w:pStyle w:val="Piedepgina"/>
      <w:tabs>
        <w:tab w:val="clear" w:pos="8504"/>
        <w:tab w:val="right" w:pos="9356"/>
      </w:tabs>
      <w:rPr>
        <w:sz w:val="18"/>
      </w:rPr>
    </w:pPr>
    <w:r w:rsidRPr="00532447">
      <w:rPr>
        <w:rFonts w:ascii="Arial" w:hAnsi="Arial"/>
        <w:b/>
        <w:sz w:val="18"/>
      </w:rPr>
      <w:t>Circular</w:t>
    </w:r>
    <w:r>
      <w:rPr>
        <w:rFonts w:ascii="Arial" w:hAnsi="Arial"/>
        <w:b/>
        <w:sz w:val="18"/>
      </w:rPr>
      <w:t xml:space="preserve"> Externa 032  de 2013</w:t>
    </w:r>
    <w:r>
      <w:rPr>
        <w:rFonts w:ascii="Arial" w:hAnsi="Arial"/>
        <w:b/>
        <w:sz w:val="18"/>
      </w:rPr>
      <w:tab/>
    </w:r>
    <w:r>
      <w:rPr>
        <w:rFonts w:ascii="Arial" w:hAnsi="Arial"/>
        <w:b/>
        <w:sz w:val="18"/>
      </w:rPr>
      <w:tab/>
      <w:t>Noviembre</w:t>
    </w:r>
    <w:r w:rsidRPr="00532447">
      <w:rPr>
        <w:rFonts w:ascii="Arial" w:hAnsi="Arial"/>
        <w:b/>
        <w:sz w:val="18"/>
      </w:rPr>
      <w:t xml:space="preserve"> 2013</w:t>
    </w:r>
  </w:p>
  <w:p w:rsidR="000D4234" w:rsidRPr="000642DE" w:rsidRDefault="000D4234" w:rsidP="000642DE">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532447" w:rsidRDefault="000D4234" w:rsidP="000D4234">
    <w:pPr>
      <w:pStyle w:val="Piedepgina"/>
      <w:tabs>
        <w:tab w:val="clear" w:pos="8504"/>
        <w:tab w:val="right" w:pos="9356"/>
      </w:tabs>
      <w:rPr>
        <w:sz w:val="18"/>
      </w:rPr>
    </w:pPr>
    <w:r w:rsidRPr="00532447">
      <w:rPr>
        <w:rFonts w:ascii="Arial" w:hAnsi="Arial"/>
        <w:b/>
        <w:sz w:val="18"/>
      </w:rPr>
      <w:t>Circular</w:t>
    </w:r>
    <w:r>
      <w:rPr>
        <w:rFonts w:ascii="Arial" w:hAnsi="Arial"/>
        <w:b/>
        <w:sz w:val="18"/>
      </w:rPr>
      <w:t xml:space="preserve"> Externa 032  de 2013</w:t>
    </w:r>
    <w:r>
      <w:rPr>
        <w:rFonts w:ascii="Arial" w:hAnsi="Arial"/>
        <w:b/>
        <w:sz w:val="18"/>
      </w:rPr>
      <w:tab/>
    </w:r>
    <w:r>
      <w:rPr>
        <w:rFonts w:ascii="Arial" w:hAnsi="Arial"/>
        <w:b/>
        <w:sz w:val="18"/>
      </w:rPr>
      <w:tab/>
      <w:t>Noviembre</w:t>
    </w:r>
    <w:r w:rsidRPr="00532447">
      <w:rPr>
        <w:rFonts w:ascii="Arial" w:hAnsi="Arial"/>
        <w:b/>
        <w:sz w:val="18"/>
      </w:rPr>
      <w:t xml:space="preserve"> 2013</w:t>
    </w:r>
  </w:p>
  <w:p w:rsidR="000D4234" w:rsidRPr="000642DE" w:rsidRDefault="000D4234" w:rsidP="000642DE">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532447" w:rsidRDefault="000D4234" w:rsidP="000642DE">
    <w:pPr>
      <w:pStyle w:val="Piedepgina"/>
      <w:tabs>
        <w:tab w:val="clear" w:pos="8504"/>
        <w:tab w:val="right" w:pos="9356"/>
      </w:tabs>
      <w:rPr>
        <w:sz w:val="18"/>
      </w:rPr>
    </w:pPr>
    <w:r w:rsidRPr="00532447">
      <w:rPr>
        <w:rFonts w:ascii="Arial" w:hAnsi="Arial"/>
        <w:b/>
        <w:sz w:val="18"/>
      </w:rPr>
      <w:t>Circular</w:t>
    </w:r>
    <w:r>
      <w:rPr>
        <w:rFonts w:ascii="Arial" w:hAnsi="Arial"/>
        <w:b/>
        <w:sz w:val="18"/>
      </w:rPr>
      <w:t xml:space="preserve"> Externa 020  de 2013</w:t>
    </w:r>
    <w:r>
      <w:rPr>
        <w:rFonts w:ascii="Arial" w:hAnsi="Arial"/>
        <w:b/>
        <w:sz w:val="18"/>
      </w:rPr>
      <w:tab/>
    </w:r>
    <w:r>
      <w:rPr>
        <w:rFonts w:ascii="Arial" w:hAnsi="Arial"/>
        <w:b/>
        <w:sz w:val="18"/>
      </w:rPr>
      <w:tab/>
      <w:t>Junio</w:t>
    </w:r>
    <w:r w:rsidRPr="00532447">
      <w:rPr>
        <w:rFonts w:ascii="Arial" w:hAnsi="Arial"/>
        <w:b/>
        <w:sz w:val="18"/>
      </w:rPr>
      <w:t xml:space="preserve"> 2013</w:t>
    </w:r>
  </w:p>
  <w:p w:rsidR="000D4234" w:rsidRPr="000642DE" w:rsidRDefault="000D4234" w:rsidP="000642DE">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532447" w:rsidRDefault="000D4234" w:rsidP="000642DE">
    <w:pPr>
      <w:pStyle w:val="Piedepgina"/>
      <w:tabs>
        <w:tab w:val="clear" w:pos="8504"/>
        <w:tab w:val="right" w:pos="9356"/>
      </w:tabs>
      <w:rPr>
        <w:sz w:val="18"/>
      </w:rPr>
    </w:pPr>
    <w:r w:rsidRPr="00532447">
      <w:rPr>
        <w:rFonts w:ascii="Arial" w:hAnsi="Arial"/>
        <w:b/>
        <w:sz w:val="18"/>
      </w:rPr>
      <w:t>Circular</w:t>
    </w:r>
    <w:r>
      <w:rPr>
        <w:rFonts w:ascii="Arial" w:hAnsi="Arial"/>
        <w:b/>
        <w:sz w:val="18"/>
      </w:rPr>
      <w:t xml:space="preserve"> Externa  032  de 2013</w:t>
    </w:r>
    <w:r>
      <w:rPr>
        <w:rFonts w:ascii="Arial" w:hAnsi="Arial"/>
        <w:b/>
        <w:sz w:val="18"/>
      </w:rPr>
      <w:tab/>
    </w:r>
    <w:r>
      <w:rPr>
        <w:rFonts w:ascii="Arial" w:hAnsi="Arial"/>
        <w:b/>
        <w:sz w:val="18"/>
      </w:rPr>
      <w:tab/>
      <w:t>Noviembre</w:t>
    </w:r>
    <w:r w:rsidRPr="00532447">
      <w:rPr>
        <w:rFonts w:ascii="Arial" w:hAnsi="Arial"/>
        <w:b/>
        <w:sz w:val="18"/>
      </w:rPr>
      <w:t xml:space="preserve"> 2013</w:t>
    </w:r>
  </w:p>
  <w:p w:rsidR="000D4234" w:rsidRPr="000642DE" w:rsidRDefault="000D4234" w:rsidP="000642DE">
    <w:pPr>
      <w:pStyle w:val="Piedep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532447" w:rsidRDefault="000D4234" w:rsidP="000642DE">
    <w:pPr>
      <w:pStyle w:val="Piedepgina"/>
      <w:tabs>
        <w:tab w:val="clear" w:pos="8504"/>
        <w:tab w:val="right" w:pos="9356"/>
      </w:tabs>
      <w:rPr>
        <w:sz w:val="18"/>
      </w:rPr>
    </w:pPr>
    <w:r w:rsidRPr="00532447">
      <w:rPr>
        <w:rFonts w:ascii="Arial" w:hAnsi="Arial"/>
        <w:b/>
        <w:sz w:val="18"/>
      </w:rPr>
      <w:t>Circular</w:t>
    </w:r>
    <w:r>
      <w:rPr>
        <w:rFonts w:ascii="Arial" w:hAnsi="Arial"/>
        <w:b/>
        <w:sz w:val="18"/>
      </w:rPr>
      <w:t xml:space="preserve"> Externa  032  de 2013</w:t>
    </w:r>
    <w:r>
      <w:rPr>
        <w:rFonts w:ascii="Arial" w:hAnsi="Arial"/>
        <w:b/>
        <w:sz w:val="18"/>
      </w:rPr>
      <w:tab/>
    </w:r>
    <w:r>
      <w:rPr>
        <w:rFonts w:ascii="Arial" w:hAnsi="Arial"/>
        <w:b/>
        <w:sz w:val="18"/>
      </w:rPr>
      <w:tab/>
      <w:t>Noviembre</w:t>
    </w:r>
    <w:r w:rsidRPr="00532447">
      <w:rPr>
        <w:rFonts w:ascii="Arial" w:hAnsi="Arial"/>
        <w:b/>
        <w:sz w:val="18"/>
      </w:rPr>
      <w:t xml:space="preserve"> 2013</w:t>
    </w:r>
  </w:p>
  <w:p w:rsidR="000D4234" w:rsidRPr="000642DE" w:rsidRDefault="000D4234" w:rsidP="000642DE">
    <w:pPr>
      <w:pStyle w:val="Piedep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532447" w:rsidRDefault="000D4234" w:rsidP="000D4234">
    <w:pPr>
      <w:pStyle w:val="Piedepgina"/>
      <w:tabs>
        <w:tab w:val="clear" w:pos="8504"/>
        <w:tab w:val="right" w:pos="9356"/>
      </w:tabs>
      <w:rPr>
        <w:sz w:val="18"/>
      </w:rPr>
    </w:pPr>
    <w:r w:rsidRPr="00532447">
      <w:rPr>
        <w:rFonts w:ascii="Arial" w:hAnsi="Arial"/>
        <w:b/>
        <w:sz w:val="18"/>
      </w:rPr>
      <w:t>Circular</w:t>
    </w:r>
    <w:r>
      <w:rPr>
        <w:rFonts w:ascii="Arial" w:hAnsi="Arial"/>
        <w:b/>
        <w:sz w:val="18"/>
      </w:rPr>
      <w:t xml:space="preserve"> Externa  032  de 2013</w:t>
    </w:r>
    <w:r>
      <w:rPr>
        <w:rFonts w:ascii="Arial" w:hAnsi="Arial"/>
        <w:b/>
        <w:sz w:val="18"/>
      </w:rPr>
      <w:tab/>
    </w:r>
    <w:r>
      <w:rPr>
        <w:rFonts w:ascii="Arial" w:hAnsi="Arial"/>
        <w:b/>
        <w:sz w:val="18"/>
      </w:rPr>
      <w:tab/>
      <w:t>Noviembre</w:t>
    </w:r>
    <w:r w:rsidRPr="00532447">
      <w:rPr>
        <w:rFonts w:ascii="Arial" w:hAnsi="Arial"/>
        <w:b/>
        <w:sz w:val="18"/>
      </w:rPr>
      <w:t xml:space="preserve"> 2013</w:t>
    </w:r>
  </w:p>
  <w:p w:rsidR="000D4234" w:rsidRPr="000642DE" w:rsidRDefault="000D4234" w:rsidP="000642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749" w:rsidRDefault="00700749">
      <w:r>
        <w:separator/>
      </w:r>
    </w:p>
  </w:footnote>
  <w:footnote w:type="continuationSeparator" w:id="0">
    <w:p w:rsidR="00700749" w:rsidRDefault="00700749">
      <w:r>
        <w:continuationSeparator/>
      </w:r>
    </w:p>
  </w:footnote>
  <w:footnote w:id="1">
    <w:p w:rsidR="000D4234" w:rsidRPr="008A1BA6" w:rsidRDefault="000D4234" w:rsidP="000D4234">
      <w:pPr>
        <w:jc w:val="both"/>
        <w:rPr>
          <w:rFonts w:ascii="Arial" w:hAnsi="Arial" w:cs="Arial"/>
          <w:sz w:val="16"/>
          <w:szCs w:val="16"/>
        </w:rPr>
      </w:pPr>
      <w:r w:rsidRPr="008A1BA6">
        <w:rPr>
          <w:rStyle w:val="Refdenotaalpie"/>
          <w:rFonts w:ascii="Arial" w:hAnsi="Arial" w:cs="Arial"/>
          <w:sz w:val="16"/>
          <w:szCs w:val="16"/>
        </w:rPr>
        <w:footnoteRef/>
      </w:r>
      <w:r w:rsidRPr="008A1BA6">
        <w:rPr>
          <w:rFonts w:ascii="Arial" w:hAnsi="Arial" w:cs="Arial"/>
          <w:sz w:val="16"/>
          <w:szCs w:val="16"/>
        </w:rPr>
        <w:t xml:space="preserve"> Se entiende por beneficiario real cualquier persona o grupo de personas que, directa o indirectamente, por sí misma o a través de interpuesta persona, por virtud de contrato, convenio o de cualquier otra manera, tenga respecto de una acción o de cualquier participación en una sociedad, la facultad o el poder de votar en la elección de directivas o representantes, o de dirigir, orientar y controlar dicho voto, así como la facultad o el poder de enajenar y ordenar la enajenación o gravamen de la acción o de la participación.</w:t>
      </w:r>
    </w:p>
    <w:p w:rsidR="000D4234" w:rsidRPr="008A1BA6" w:rsidRDefault="000D4234" w:rsidP="000D4234">
      <w:pPr>
        <w:jc w:val="both"/>
        <w:rPr>
          <w:rFonts w:ascii="Arial" w:hAnsi="Arial" w:cs="Arial"/>
          <w:sz w:val="16"/>
          <w:szCs w:val="16"/>
        </w:rPr>
      </w:pPr>
      <w:r w:rsidRPr="008A1BA6">
        <w:rPr>
          <w:rFonts w:ascii="Arial" w:hAnsi="Arial" w:cs="Arial"/>
          <w:sz w:val="16"/>
          <w:szCs w:val="16"/>
        </w:rPr>
        <w:t>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SFC con fines exclusivamente probatorios.</w:t>
      </w:r>
    </w:p>
    <w:p w:rsidR="000D4234" w:rsidRPr="003F46AA" w:rsidRDefault="000D4234" w:rsidP="000D4234">
      <w:pPr>
        <w:pStyle w:val="Textonotapie"/>
        <w:jc w:val="both"/>
        <w:rPr>
          <w:lang w:val="es-CO"/>
        </w:rPr>
      </w:pPr>
      <w:r w:rsidRPr="008A1BA6">
        <w:rPr>
          <w:rFonts w:ascii="Arial" w:hAnsi="Arial" w:cs="Arial"/>
          <w:sz w:val="16"/>
          <w:szCs w:val="16"/>
        </w:rPr>
        <w:t>Una persona o grupo de personas se considera beneficiario real de una acción o participación si tiene derecho para hacerse a su</w:t>
      </w:r>
      <w:r>
        <w:rPr>
          <w:rFonts w:ascii="Arial" w:hAnsi="Arial" w:cs="Arial"/>
          <w:sz w:val="16"/>
          <w:szCs w:val="16"/>
        </w:rPr>
        <w:t xml:space="preserve"> </w:t>
      </w:r>
      <w:r w:rsidRPr="008A1BA6">
        <w:rPr>
          <w:rFonts w:ascii="Arial" w:hAnsi="Arial" w:cs="Arial"/>
          <w:sz w:val="16"/>
          <w:szCs w:val="16"/>
        </w:rPr>
        <w:t>propiedad con ocasión del ejercicio de un derecho proveniente de una garantía o de un pacto de recompra o de un negocio fiduciario o cualquier otro pacto que produzca efectos similares, salvo que los mismos no confieran derechos políticos</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A23" w:rsidRPr="00FA02E1" w:rsidRDefault="00E60A23" w:rsidP="00ED105F">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E60A23" w:rsidRPr="00FA02E1" w:rsidRDefault="00E60A23" w:rsidP="000642DE">
    <w:pPr>
      <w:pStyle w:val="Encabezado"/>
      <w:jc w:val="center"/>
      <w:rPr>
        <w:rFonts w:ascii="Arial" w:hAnsi="Arial" w:cs="Arial"/>
        <w:sz w:val="28"/>
      </w:rPr>
    </w:pPr>
  </w:p>
  <w:p w:rsidR="00E60A23" w:rsidRPr="00FA02E1" w:rsidRDefault="00E60A23" w:rsidP="000642DE">
    <w:pPr>
      <w:pStyle w:val="Encabezado"/>
      <w:rPr>
        <w:rFonts w:ascii="Arial" w:hAnsi="Arial" w:cs="Arial"/>
        <w:b/>
        <w:sz w:val="18"/>
        <w:szCs w:val="18"/>
      </w:rPr>
    </w:pPr>
    <w:r w:rsidRPr="00FA02E1">
      <w:rPr>
        <w:rFonts w:ascii="Arial" w:hAnsi="Arial" w:cs="Arial"/>
        <w:b/>
        <w:sz w:val="18"/>
        <w:szCs w:val="18"/>
      </w:rPr>
      <w:t>CAPITULO XIII - CONTROLES DE LEY</w:t>
    </w:r>
  </w:p>
  <w:p w:rsidR="004C7645" w:rsidRPr="00FA02E1" w:rsidRDefault="00E60A23" w:rsidP="00E87BD1">
    <w:pPr>
      <w:pStyle w:val="Encabezado"/>
      <w:rPr>
        <w:rFonts w:ascii="Arial" w:hAnsi="Arial" w:cs="Arial"/>
        <w:b/>
        <w:sz w:val="18"/>
        <w:szCs w:val="18"/>
      </w:rPr>
    </w:pPr>
    <w:r w:rsidRPr="00FA02E1">
      <w:rPr>
        <w:rFonts w:ascii="Arial" w:hAnsi="Arial" w:cs="Arial"/>
        <w:b/>
        <w:sz w:val="18"/>
        <w:szCs w:val="18"/>
      </w:rPr>
      <w:t xml:space="preserve">Página    </w:t>
    </w:r>
    <w:r w:rsidRPr="00FA02E1">
      <w:rPr>
        <w:rFonts w:ascii="Arial" w:hAnsi="Arial" w:cs="Arial"/>
        <w:b/>
        <w:sz w:val="18"/>
        <w:szCs w:val="18"/>
      </w:rPr>
      <w:fldChar w:fldCharType="begin"/>
    </w:r>
    <w:r w:rsidRPr="00FA02E1">
      <w:rPr>
        <w:rFonts w:ascii="Arial" w:hAnsi="Arial" w:cs="Arial"/>
        <w:b/>
        <w:sz w:val="18"/>
        <w:szCs w:val="18"/>
      </w:rPr>
      <w:instrText xml:space="preserve"> PAGE </w:instrText>
    </w:r>
    <w:r w:rsidRPr="00FA02E1">
      <w:rPr>
        <w:rFonts w:ascii="Arial" w:hAnsi="Arial" w:cs="Arial"/>
        <w:b/>
        <w:sz w:val="18"/>
        <w:szCs w:val="18"/>
      </w:rPr>
      <w:fldChar w:fldCharType="separate"/>
    </w:r>
    <w:r w:rsidR="009A6158">
      <w:rPr>
        <w:rFonts w:ascii="Arial" w:hAnsi="Arial" w:cs="Arial"/>
        <w:b/>
        <w:noProof/>
        <w:sz w:val="18"/>
        <w:szCs w:val="18"/>
      </w:rPr>
      <w:t>60</w:t>
    </w:r>
    <w:r w:rsidRPr="00FA02E1">
      <w:rPr>
        <w:rFonts w:ascii="Arial" w:hAnsi="Arial" w:cs="Arial"/>
        <w:b/>
        <w:sz w:val="18"/>
        <w:szCs w:val="1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FA02E1" w:rsidRDefault="000D4234" w:rsidP="000D4234">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0D4234" w:rsidRPr="00FA02E1" w:rsidRDefault="000D4234" w:rsidP="000D4234">
    <w:pPr>
      <w:pStyle w:val="Encabezado"/>
      <w:jc w:val="center"/>
      <w:rPr>
        <w:rFonts w:ascii="Arial" w:hAnsi="Arial" w:cs="Arial"/>
        <w:sz w:val="28"/>
      </w:rPr>
    </w:pPr>
  </w:p>
  <w:p w:rsidR="000D4234" w:rsidRPr="00FA02E1" w:rsidRDefault="000D4234" w:rsidP="000D4234">
    <w:pPr>
      <w:pStyle w:val="Encabezado"/>
      <w:rPr>
        <w:rFonts w:ascii="Arial" w:hAnsi="Arial" w:cs="Arial"/>
        <w:b/>
        <w:sz w:val="18"/>
        <w:szCs w:val="18"/>
      </w:rPr>
    </w:pPr>
    <w:r w:rsidRPr="00FA02E1">
      <w:rPr>
        <w:rFonts w:ascii="Arial" w:hAnsi="Arial" w:cs="Arial"/>
        <w:b/>
        <w:sz w:val="18"/>
        <w:szCs w:val="18"/>
      </w:rPr>
      <w:t>CAPITULO XIII - CONTROLES DE LEY</w:t>
    </w:r>
  </w:p>
  <w:p w:rsidR="000D4234" w:rsidRPr="00FA02E1" w:rsidRDefault="000D4234" w:rsidP="000D4234">
    <w:pPr>
      <w:pStyle w:val="Encabezado"/>
      <w:rPr>
        <w:rFonts w:ascii="Arial" w:hAnsi="Arial" w:cs="Arial"/>
        <w:b/>
        <w:sz w:val="18"/>
        <w:szCs w:val="18"/>
      </w:rPr>
    </w:pPr>
    <w:r>
      <w:rPr>
        <w:rFonts w:ascii="Arial" w:hAnsi="Arial" w:cs="Arial"/>
        <w:b/>
        <w:sz w:val="18"/>
        <w:szCs w:val="18"/>
      </w:rPr>
      <w:t>Página  67-1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FA02E1" w:rsidRDefault="000D4234" w:rsidP="00ED105F">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0D4234" w:rsidRPr="00FA02E1" w:rsidRDefault="000D4234" w:rsidP="000642DE">
    <w:pPr>
      <w:pStyle w:val="Encabezado"/>
      <w:jc w:val="center"/>
      <w:rPr>
        <w:rFonts w:ascii="Arial" w:hAnsi="Arial" w:cs="Arial"/>
        <w:sz w:val="28"/>
      </w:rPr>
    </w:pPr>
  </w:p>
  <w:p w:rsidR="000D4234" w:rsidRPr="00FA02E1" w:rsidRDefault="000D4234" w:rsidP="000642DE">
    <w:pPr>
      <w:pStyle w:val="Encabezado"/>
      <w:rPr>
        <w:rFonts w:ascii="Arial" w:hAnsi="Arial" w:cs="Arial"/>
        <w:b/>
        <w:sz w:val="18"/>
        <w:szCs w:val="18"/>
      </w:rPr>
    </w:pPr>
    <w:r w:rsidRPr="00FA02E1">
      <w:rPr>
        <w:rFonts w:ascii="Arial" w:hAnsi="Arial" w:cs="Arial"/>
        <w:b/>
        <w:sz w:val="18"/>
        <w:szCs w:val="18"/>
      </w:rPr>
      <w:t>CAPITULO XIII - CONTROLES DE LEY</w:t>
    </w:r>
  </w:p>
  <w:p w:rsidR="000D4234" w:rsidRPr="00FA02E1" w:rsidRDefault="000D4234" w:rsidP="00E87BD1">
    <w:pPr>
      <w:pStyle w:val="Encabezado"/>
      <w:rPr>
        <w:rFonts w:ascii="Arial" w:hAnsi="Arial" w:cs="Arial"/>
        <w:b/>
        <w:sz w:val="18"/>
        <w:szCs w:val="18"/>
      </w:rPr>
    </w:pPr>
    <w:r w:rsidRPr="00FA02E1">
      <w:rPr>
        <w:rFonts w:ascii="Arial" w:hAnsi="Arial" w:cs="Arial"/>
        <w:b/>
        <w:sz w:val="18"/>
        <w:szCs w:val="18"/>
      </w:rPr>
      <w:t xml:space="preserve">Página    </w:t>
    </w:r>
    <w:r w:rsidRPr="00FA02E1">
      <w:rPr>
        <w:rFonts w:ascii="Arial" w:hAnsi="Arial" w:cs="Arial"/>
        <w:b/>
        <w:sz w:val="18"/>
        <w:szCs w:val="18"/>
      </w:rPr>
      <w:fldChar w:fldCharType="begin"/>
    </w:r>
    <w:r w:rsidRPr="00FA02E1">
      <w:rPr>
        <w:rFonts w:ascii="Arial" w:hAnsi="Arial" w:cs="Arial"/>
        <w:b/>
        <w:sz w:val="18"/>
        <w:szCs w:val="18"/>
      </w:rPr>
      <w:instrText xml:space="preserve"> PAGE </w:instrText>
    </w:r>
    <w:r w:rsidRPr="00FA02E1">
      <w:rPr>
        <w:rFonts w:ascii="Arial" w:hAnsi="Arial" w:cs="Arial"/>
        <w:b/>
        <w:sz w:val="18"/>
        <w:szCs w:val="18"/>
      </w:rPr>
      <w:fldChar w:fldCharType="separate"/>
    </w:r>
    <w:r w:rsidR="009A6158">
      <w:rPr>
        <w:rFonts w:ascii="Arial" w:hAnsi="Arial" w:cs="Arial"/>
        <w:b/>
        <w:noProof/>
        <w:sz w:val="18"/>
        <w:szCs w:val="18"/>
      </w:rPr>
      <w:t>73</w:t>
    </w:r>
    <w:r w:rsidRPr="00FA02E1">
      <w:rPr>
        <w:rFonts w:ascii="Arial" w:hAnsi="Arial" w:cs="Arial"/>
        <w:b/>
        <w:sz w:val="18"/>
        <w:szCs w:val="1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58" w:rsidRPr="00FA02E1" w:rsidRDefault="009A6158" w:rsidP="00ED105F">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9A6158" w:rsidRPr="00FA02E1" w:rsidRDefault="009A6158" w:rsidP="000642DE">
    <w:pPr>
      <w:pStyle w:val="Encabezado"/>
      <w:jc w:val="center"/>
      <w:rPr>
        <w:rFonts w:ascii="Arial" w:hAnsi="Arial" w:cs="Arial"/>
        <w:sz w:val="28"/>
      </w:rPr>
    </w:pPr>
  </w:p>
  <w:p w:rsidR="009A6158" w:rsidRPr="00FA02E1" w:rsidRDefault="009A6158" w:rsidP="000642DE">
    <w:pPr>
      <w:pStyle w:val="Encabezado"/>
      <w:rPr>
        <w:rFonts w:ascii="Arial" w:hAnsi="Arial" w:cs="Arial"/>
        <w:b/>
        <w:sz w:val="18"/>
        <w:szCs w:val="18"/>
      </w:rPr>
    </w:pPr>
    <w:r w:rsidRPr="00FA02E1">
      <w:rPr>
        <w:rFonts w:ascii="Arial" w:hAnsi="Arial" w:cs="Arial"/>
        <w:b/>
        <w:sz w:val="18"/>
        <w:szCs w:val="18"/>
      </w:rPr>
      <w:t>CAPITULO XIII - CONTROLES DE LEY</w:t>
    </w:r>
  </w:p>
  <w:p w:rsidR="009A6158" w:rsidRPr="00FA02E1" w:rsidRDefault="009A6158" w:rsidP="00E87BD1">
    <w:pPr>
      <w:pStyle w:val="Encabezado"/>
      <w:rPr>
        <w:rFonts w:ascii="Arial" w:hAnsi="Arial" w:cs="Arial"/>
        <w:b/>
        <w:sz w:val="18"/>
        <w:szCs w:val="18"/>
      </w:rPr>
    </w:pPr>
    <w:r w:rsidRPr="00FA02E1">
      <w:rPr>
        <w:rFonts w:ascii="Arial" w:hAnsi="Arial" w:cs="Arial"/>
        <w:b/>
        <w:sz w:val="18"/>
        <w:szCs w:val="18"/>
      </w:rPr>
      <w:t xml:space="preserve">Página    </w:t>
    </w:r>
    <w:r w:rsidRPr="00FA02E1">
      <w:rPr>
        <w:rFonts w:ascii="Arial" w:hAnsi="Arial" w:cs="Arial"/>
        <w:b/>
        <w:sz w:val="18"/>
        <w:szCs w:val="18"/>
      </w:rPr>
      <w:fldChar w:fldCharType="begin"/>
    </w:r>
    <w:r w:rsidRPr="00FA02E1">
      <w:rPr>
        <w:rFonts w:ascii="Arial" w:hAnsi="Arial" w:cs="Arial"/>
        <w:b/>
        <w:sz w:val="18"/>
        <w:szCs w:val="18"/>
      </w:rPr>
      <w:instrText xml:space="preserve"> PAGE </w:instrText>
    </w:r>
    <w:r w:rsidRPr="00FA02E1">
      <w:rPr>
        <w:rFonts w:ascii="Arial" w:hAnsi="Arial" w:cs="Arial"/>
        <w:b/>
        <w:sz w:val="18"/>
        <w:szCs w:val="18"/>
      </w:rPr>
      <w:fldChar w:fldCharType="separate"/>
    </w:r>
    <w:r>
      <w:rPr>
        <w:rFonts w:ascii="Arial" w:hAnsi="Arial" w:cs="Arial"/>
        <w:b/>
        <w:noProof/>
        <w:sz w:val="18"/>
        <w:szCs w:val="18"/>
      </w:rPr>
      <w:t>74</w:t>
    </w:r>
    <w:r w:rsidRPr="00FA02E1">
      <w:rPr>
        <w:rFonts w:ascii="Arial" w:hAnsi="Arial" w:cs="Arial"/>
        <w:b/>
        <w:sz w:val="18"/>
        <w:szCs w:val="18"/>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58" w:rsidRPr="00FA02E1" w:rsidRDefault="009A6158" w:rsidP="00ED105F">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9A6158" w:rsidRPr="00FA02E1" w:rsidRDefault="009A6158" w:rsidP="000642DE">
    <w:pPr>
      <w:pStyle w:val="Encabezado"/>
      <w:jc w:val="center"/>
      <w:rPr>
        <w:rFonts w:ascii="Arial" w:hAnsi="Arial" w:cs="Arial"/>
        <w:sz w:val="28"/>
      </w:rPr>
    </w:pPr>
  </w:p>
  <w:p w:rsidR="009A6158" w:rsidRPr="00FA02E1" w:rsidRDefault="009A6158" w:rsidP="000642DE">
    <w:pPr>
      <w:pStyle w:val="Encabezado"/>
      <w:rPr>
        <w:rFonts w:ascii="Arial" w:hAnsi="Arial" w:cs="Arial"/>
        <w:b/>
        <w:sz w:val="18"/>
        <w:szCs w:val="18"/>
      </w:rPr>
    </w:pPr>
    <w:r w:rsidRPr="00FA02E1">
      <w:rPr>
        <w:rFonts w:ascii="Arial" w:hAnsi="Arial" w:cs="Arial"/>
        <w:b/>
        <w:sz w:val="18"/>
        <w:szCs w:val="18"/>
      </w:rPr>
      <w:t>CAPITULO XIII - CONTROLES DE LEY</w:t>
    </w:r>
  </w:p>
  <w:p w:rsidR="009A6158" w:rsidRPr="00FA02E1" w:rsidRDefault="009A6158" w:rsidP="00E87BD1">
    <w:pPr>
      <w:pStyle w:val="Encabezado"/>
      <w:rPr>
        <w:rFonts w:ascii="Arial" w:hAnsi="Arial" w:cs="Arial"/>
        <w:b/>
        <w:sz w:val="18"/>
        <w:szCs w:val="18"/>
      </w:rPr>
    </w:pPr>
    <w:r w:rsidRPr="00FA02E1">
      <w:rPr>
        <w:rFonts w:ascii="Arial" w:hAnsi="Arial" w:cs="Arial"/>
        <w:b/>
        <w:sz w:val="18"/>
        <w:szCs w:val="18"/>
      </w:rPr>
      <w:t xml:space="preserve">Página    </w:t>
    </w:r>
    <w:r w:rsidRPr="00FA02E1">
      <w:rPr>
        <w:rFonts w:ascii="Arial" w:hAnsi="Arial" w:cs="Arial"/>
        <w:b/>
        <w:sz w:val="18"/>
        <w:szCs w:val="18"/>
      </w:rPr>
      <w:fldChar w:fldCharType="begin"/>
    </w:r>
    <w:r w:rsidRPr="00FA02E1">
      <w:rPr>
        <w:rFonts w:ascii="Arial" w:hAnsi="Arial" w:cs="Arial"/>
        <w:b/>
        <w:sz w:val="18"/>
        <w:szCs w:val="18"/>
      </w:rPr>
      <w:instrText xml:space="preserve"> PAGE </w:instrText>
    </w:r>
    <w:r w:rsidRPr="00FA02E1">
      <w:rPr>
        <w:rFonts w:ascii="Arial" w:hAnsi="Arial" w:cs="Arial"/>
        <w:b/>
        <w:sz w:val="18"/>
        <w:szCs w:val="18"/>
      </w:rPr>
      <w:fldChar w:fldCharType="separate"/>
    </w:r>
    <w:r>
      <w:rPr>
        <w:rFonts w:ascii="Arial" w:hAnsi="Arial" w:cs="Arial"/>
        <w:b/>
        <w:noProof/>
        <w:sz w:val="18"/>
        <w:szCs w:val="18"/>
      </w:rPr>
      <w:t>77</w:t>
    </w:r>
    <w:r w:rsidRPr="00FA02E1">
      <w:rPr>
        <w:rFonts w:ascii="Arial" w:hAnsi="Arial" w:cs="Arial"/>
        <w:b/>
        <w:sz w:val="18"/>
        <w:szCs w:val="1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58" w:rsidRPr="00FA02E1" w:rsidRDefault="009A6158" w:rsidP="00ED105F">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9A6158" w:rsidRPr="00FA02E1" w:rsidRDefault="009A6158" w:rsidP="000642DE">
    <w:pPr>
      <w:pStyle w:val="Encabezado"/>
      <w:jc w:val="center"/>
      <w:rPr>
        <w:rFonts w:ascii="Arial" w:hAnsi="Arial" w:cs="Arial"/>
        <w:sz w:val="28"/>
      </w:rPr>
    </w:pPr>
  </w:p>
  <w:p w:rsidR="009A6158" w:rsidRPr="00FA02E1" w:rsidRDefault="009A6158" w:rsidP="000642DE">
    <w:pPr>
      <w:pStyle w:val="Encabezado"/>
      <w:rPr>
        <w:rFonts w:ascii="Arial" w:hAnsi="Arial" w:cs="Arial"/>
        <w:b/>
        <w:sz w:val="18"/>
        <w:szCs w:val="18"/>
      </w:rPr>
    </w:pPr>
    <w:r w:rsidRPr="00FA02E1">
      <w:rPr>
        <w:rFonts w:ascii="Arial" w:hAnsi="Arial" w:cs="Arial"/>
        <w:b/>
        <w:sz w:val="18"/>
        <w:szCs w:val="18"/>
      </w:rPr>
      <w:t>CAPITULO XIII - CONTROLES DE LEY</w:t>
    </w:r>
  </w:p>
  <w:p w:rsidR="009A6158" w:rsidRPr="00FA02E1" w:rsidRDefault="009A6158" w:rsidP="00E87BD1">
    <w:pPr>
      <w:pStyle w:val="Encabezado"/>
      <w:rPr>
        <w:rFonts w:ascii="Arial" w:hAnsi="Arial" w:cs="Arial"/>
        <w:b/>
        <w:sz w:val="18"/>
        <w:szCs w:val="18"/>
      </w:rPr>
    </w:pPr>
    <w:r w:rsidRPr="00FA02E1">
      <w:rPr>
        <w:rFonts w:ascii="Arial" w:hAnsi="Arial" w:cs="Arial"/>
        <w:b/>
        <w:sz w:val="18"/>
        <w:szCs w:val="18"/>
      </w:rPr>
      <w:t xml:space="preserve">Página    </w:t>
    </w:r>
    <w:r w:rsidRPr="00FA02E1">
      <w:rPr>
        <w:rFonts w:ascii="Arial" w:hAnsi="Arial" w:cs="Arial"/>
        <w:b/>
        <w:sz w:val="18"/>
        <w:szCs w:val="18"/>
      </w:rPr>
      <w:fldChar w:fldCharType="begin"/>
    </w:r>
    <w:r w:rsidRPr="00FA02E1">
      <w:rPr>
        <w:rFonts w:ascii="Arial" w:hAnsi="Arial" w:cs="Arial"/>
        <w:b/>
        <w:sz w:val="18"/>
        <w:szCs w:val="18"/>
      </w:rPr>
      <w:instrText xml:space="preserve"> PAGE </w:instrText>
    </w:r>
    <w:r w:rsidRPr="00FA02E1">
      <w:rPr>
        <w:rFonts w:ascii="Arial" w:hAnsi="Arial" w:cs="Arial"/>
        <w:b/>
        <w:sz w:val="18"/>
        <w:szCs w:val="18"/>
      </w:rPr>
      <w:fldChar w:fldCharType="separate"/>
    </w:r>
    <w:r>
      <w:rPr>
        <w:rFonts w:ascii="Arial" w:hAnsi="Arial" w:cs="Arial"/>
        <w:b/>
        <w:noProof/>
        <w:sz w:val="18"/>
        <w:szCs w:val="18"/>
      </w:rPr>
      <w:t>78</w:t>
    </w:r>
    <w:r w:rsidRPr="00FA02E1">
      <w:rPr>
        <w:rFonts w:ascii="Arial" w:hAnsi="Arial" w:cs="Arial"/>
        <w:b/>
        <w:sz w:val="18"/>
        <w:szCs w:val="18"/>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58" w:rsidRPr="00FA02E1" w:rsidRDefault="009A6158" w:rsidP="00ED105F">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9A6158" w:rsidRPr="00FA02E1" w:rsidRDefault="009A6158" w:rsidP="000642DE">
    <w:pPr>
      <w:pStyle w:val="Encabezado"/>
      <w:jc w:val="center"/>
      <w:rPr>
        <w:rFonts w:ascii="Arial" w:hAnsi="Arial" w:cs="Arial"/>
        <w:sz w:val="28"/>
      </w:rPr>
    </w:pPr>
  </w:p>
  <w:p w:rsidR="009A6158" w:rsidRPr="00FA02E1" w:rsidRDefault="009A6158" w:rsidP="000642DE">
    <w:pPr>
      <w:pStyle w:val="Encabezado"/>
      <w:rPr>
        <w:rFonts w:ascii="Arial" w:hAnsi="Arial" w:cs="Arial"/>
        <w:b/>
        <w:sz w:val="18"/>
        <w:szCs w:val="18"/>
      </w:rPr>
    </w:pPr>
    <w:r w:rsidRPr="00FA02E1">
      <w:rPr>
        <w:rFonts w:ascii="Arial" w:hAnsi="Arial" w:cs="Arial"/>
        <w:b/>
        <w:sz w:val="18"/>
        <w:szCs w:val="18"/>
      </w:rPr>
      <w:t>CAPITULO XIII - CONTROLES DE LEY</w:t>
    </w:r>
  </w:p>
  <w:p w:rsidR="009A6158" w:rsidRPr="00FA02E1" w:rsidRDefault="009A6158" w:rsidP="00E87BD1">
    <w:pPr>
      <w:pStyle w:val="Encabezado"/>
      <w:rPr>
        <w:rFonts w:ascii="Arial" w:hAnsi="Arial" w:cs="Arial"/>
        <w:b/>
        <w:sz w:val="18"/>
        <w:szCs w:val="18"/>
      </w:rPr>
    </w:pPr>
    <w:r w:rsidRPr="00FA02E1">
      <w:rPr>
        <w:rFonts w:ascii="Arial" w:hAnsi="Arial" w:cs="Arial"/>
        <w:b/>
        <w:sz w:val="18"/>
        <w:szCs w:val="18"/>
      </w:rPr>
      <w:t xml:space="preserve">Página    </w:t>
    </w:r>
    <w:r w:rsidRPr="00FA02E1">
      <w:rPr>
        <w:rFonts w:ascii="Arial" w:hAnsi="Arial" w:cs="Arial"/>
        <w:b/>
        <w:sz w:val="18"/>
        <w:szCs w:val="18"/>
      </w:rPr>
      <w:fldChar w:fldCharType="begin"/>
    </w:r>
    <w:r w:rsidRPr="00FA02E1">
      <w:rPr>
        <w:rFonts w:ascii="Arial" w:hAnsi="Arial" w:cs="Arial"/>
        <w:b/>
        <w:sz w:val="18"/>
        <w:szCs w:val="18"/>
      </w:rPr>
      <w:instrText xml:space="preserve"> PAGE </w:instrText>
    </w:r>
    <w:r w:rsidRPr="00FA02E1">
      <w:rPr>
        <w:rFonts w:ascii="Arial" w:hAnsi="Arial" w:cs="Arial"/>
        <w:b/>
        <w:sz w:val="18"/>
        <w:szCs w:val="18"/>
      </w:rPr>
      <w:fldChar w:fldCharType="separate"/>
    </w:r>
    <w:r>
      <w:rPr>
        <w:rFonts w:ascii="Arial" w:hAnsi="Arial" w:cs="Arial"/>
        <w:b/>
        <w:noProof/>
        <w:sz w:val="18"/>
        <w:szCs w:val="18"/>
      </w:rPr>
      <w:t>80</w:t>
    </w:r>
    <w:r w:rsidRPr="00FA02E1">
      <w:rPr>
        <w:rFonts w:ascii="Arial" w:hAnsi="Arial" w:cs="Arial"/>
        <w:b/>
        <w:sz w:val="18"/>
        <w:szCs w:val="18"/>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58" w:rsidRPr="00FA02E1" w:rsidRDefault="009A6158" w:rsidP="00ED105F">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9A6158" w:rsidRPr="00FA02E1" w:rsidRDefault="009A6158" w:rsidP="000642DE">
    <w:pPr>
      <w:pStyle w:val="Encabezado"/>
      <w:jc w:val="center"/>
      <w:rPr>
        <w:rFonts w:ascii="Arial" w:hAnsi="Arial" w:cs="Arial"/>
        <w:sz w:val="28"/>
      </w:rPr>
    </w:pPr>
  </w:p>
  <w:p w:rsidR="009A6158" w:rsidRPr="00FA02E1" w:rsidRDefault="009A6158" w:rsidP="000642DE">
    <w:pPr>
      <w:pStyle w:val="Encabezado"/>
      <w:rPr>
        <w:rFonts w:ascii="Arial" w:hAnsi="Arial" w:cs="Arial"/>
        <w:b/>
        <w:sz w:val="18"/>
        <w:szCs w:val="18"/>
      </w:rPr>
    </w:pPr>
    <w:r w:rsidRPr="00FA02E1">
      <w:rPr>
        <w:rFonts w:ascii="Arial" w:hAnsi="Arial" w:cs="Arial"/>
        <w:b/>
        <w:sz w:val="18"/>
        <w:szCs w:val="18"/>
      </w:rPr>
      <w:t>CAPITULO XIII - CONTROLES DE LEY</w:t>
    </w:r>
  </w:p>
  <w:p w:rsidR="009A6158" w:rsidRPr="00FA02E1" w:rsidRDefault="009A6158" w:rsidP="00E87BD1">
    <w:pPr>
      <w:pStyle w:val="Encabezado"/>
      <w:rPr>
        <w:rFonts w:ascii="Arial" w:hAnsi="Arial" w:cs="Arial"/>
        <w:b/>
        <w:sz w:val="18"/>
        <w:szCs w:val="18"/>
      </w:rPr>
    </w:pPr>
    <w:r w:rsidRPr="00FA02E1">
      <w:rPr>
        <w:rFonts w:ascii="Arial" w:hAnsi="Arial" w:cs="Arial"/>
        <w:b/>
        <w:sz w:val="18"/>
        <w:szCs w:val="18"/>
      </w:rPr>
      <w:t xml:space="preserve">Página    </w:t>
    </w:r>
    <w:r w:rsidRPr="00FA02E1">
      <w:rPr>
        <w:rFonts w:ascii="Arial" w:hAnsi="Arial" w:cs="Arial"/>
        <w:b/>
        <w:sz w:val="18"/>
        <w:szCs w:val="18"/>
      </w:rPr>
      <w:fldChar w:fldCharType="begin"/>
    </w:r>
    <w:r w:rsidRPr="00FA02E1">
      <w:rPr>
        <w:rFonts w:ascii="Arial" w:hAnsi="Arial" w:cs="Arial"/>
        <w:b/>
        <w:sz w:val="18"/>
        <w:szCs w:val="18"/>
      </w:rPr>
      <w:instrText xml:space="preserve"> PAGE </w:instrText>
    </w:r>
    <w:r w:rsidRPr="00FA02E1">
      <w:rPr>
        <w:rFonts w:ascii="Arial" w:hAnsi="Arial" w:cs="Arial"/>
        <w:b/>
        <w:sz w:val="18"/>
        <w:szCs w:val="18"/>
      </w:rPr>
      <w:fldChar w:fldCharType="separate"/>
    </w:r>
    <w:r>
      <w:rPr>
        <w:rFonts w:ascii="Arial" w:hAnsi="Arial" w:cs="Arial"/>
        <w:b/>
        <w:noProof/>
        <w:sz w:val="18"/>
        <w:szCs w:val="18"/>
      </w:rPr>
      <w:t>81</w:t>
    </w:r>
    <w:r w:rsidRPr="00FA02E1">
      <w:rPr>
        <w:rFonts w:ascii="Arial" w:hAnsi="Arial" w:cs="Arial"/>
        <w:b/>
        <w:sz w:val="18"/>
        <w:szCs w:val="18"/>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58" w:rsidRPr="00FA02E1" w:rsidRDefault="009A6158" w:rsidP="00ED105F">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9A6158" w:rsidRPr="00FA02E1" w:rsidRDefault="009A6158" w:rsidP="000642DE">
    <w:pPr>
      <w:pStyle w:val="Encabezado"/>
      <w:jc w:val="center"/>
      <w:rPr>
        <w:rFonts w:ascii="Arial" w:hAnsi="Arial" w:cs="Arial"/>
        <w:sz w:val="28"/>
      </w:rPr>
    </w:pPr>
  </w:p>
  <w:p w:rsidR="009A6158" w:rsidRPr="00FA02E1" w:rsidRDefault="009A6158" w:rsidP="000642DE">
    <w:pPr>
      <w:pStyle w:val="Encabezado"/>
      <w:rPr>
        <w:rFonts w:ascii="Arial" w:hAnsi="Arial" w:cs="Arial"/>
        <w:b/>
        <w:sz w:val="18"/>
        <w:szCs w:val="18"/>
      </w:rPr>
    </w:pPr>
    <w:r w:rsidRPr="00FA02E1">
      <w:rPr>
        <w:rFonts w:ascii="Arial" w:hAnsi="Arial" w:cs="Arial"/>
        <w:b/>
        <w:sz w:val="18"/>
        <w:szCs w:val="18"/>
      </w:rPr>
      <w:t>CAPITULO XIII - CONTROLES DE LEY</w:t>
    </w:r>
  </w:p>
  <w:p w:rsidR="009A6158" w:rsidRPr="00FA02E1" w:rsidRDefault="009A6158" w:rsidP="00E87BD1">
    <w:pPr>
      <w:pStyle w:val="Encabezado"/>
      <w:rPr>
        <w:rFonts w:ascii="Arial" w:hAnsi="Arial" w:cs="Arial"/>
        <w:b/>
        <w:sz w:val="18"/>
        <w:szCs w:val="18"/>
      </w:rPr>
    </w:pPr>
    <w:r w:rsidRPr="00FA02E1">
      <w:rPr>
        <w:rFonts w:ascii="Arial" w:hAnsi="Arial" w:cs="Arial"/>
        <w:b/>
        <w:sz w:val="18"/>
        <w:szCs w:val="18"/>
      </w:rPr>
      <w:t xml:space="preserve">Página    </w:t>
    </w:r>
    <w:r w:rsidRPr="00FA02E1">
      <w:rPr>
        <w:rFonts w:ascii="Arial" w:hAnsi="Arial" w:cs="Arial"/>
        <w:b/>
        <w:sz w:val="18"/>
        <w:szCs w:val="18"/>
      </w:rPr>
      <w:fldChar w:fldCharType="begin"/>
    </w:r>
    <w:r w:rsidRPr="00FA02E1">
      <w:rPr>
        <w:rFonts w:ascii="Arial" w:hAnsi="Arial" w:cs="Arial"/>
        <w:b/>
        <w:sz w:val="18"/>
        <w:szCs w:val="18"/>
      </w:rPr>
      <w:instrText xml:space="preserve"> PAGE </w:instrText>
    </w:r>
    <w:r w:rsidRPr="00FA02E1">
      <w:rPr>
        <w:rFonts w:ascii="Arial" w:hAnsi="Arial" w:cs="Arial"/>
        <w:b/>
        <w:sz w:val="18"/>
        <w:szCs w:val="18"/>
      </w:rPr>
      <w:fldChar w:fldCharType="separate"/>
    </w:r>
    <w:r>
      <w:rPr>
        <w:rFonts w:ascii="Arial" w:hAnsi="Arial" w:cs="Arial"/>
        <w:b/>
        <w:noProof/>
        <w:sz w:val="18"/>
        <w:szCs w:val="18"/>
      </w:rPr>
      <w:t>82</w:t>
    </w:r>
    <w:r w:rsidRPr="00FA02E1">
      <w:rPr>
        <w:rFonts w:ascii="Arial" w:hAnsi="Arial" w:cs="Arial"/>
        <w:b/>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FA02E1" w:rsidRDefault="000D4234" w:rsidP="00ED105F">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0D4234" w:rsidRPr="00FA02E1" w:rsidRDefault="000D4234" w:rsidP="000642DE">
    <w:pPr>
      <w:pStyle w:val="Encabezado"/>
      <w:jc w:val="center"/>
      <w:rPr>
        <w:rFonts w:ascii="Arial" w:hAnsi="Arial" w:cs="Arial"/>
        <w:sz w:val="28"/>
      </w:rPr>
    </w:pPr>
  </w:p>
  <w:p w:rsidR="000D4234" w:rsidRPr="00FA02E1" w:rsidRDefault="000D4234" w:rsidP="000642DE">
    <w:pPr>
      <w:pStyle w:val="Encabezado"/>
      <w:rPr>
        <w:rFonts w:ascii="Arial" w:hAnsi="Arial" w:cs="Arial"/>
        <w:b/>
        <w:sz w:val="18"/>
        <w:szCs w:val="18"/>
      </w:rPr>
    </w:pPr>
    <w:r w:rsidRPr="00FA02E1">
      <w:rPr>
        <w:rFonts w:ascii="Arial" w:hAnsi="Arial" w:cs="Arial"/>
        <w:b/>
        <w:sz w:val="18"/>
        <w:szCs w:val="18"/>
      </w:rPr>
      <w:t>CAPITULO XIII - CONTROLES DE LEY</w:t>
    </w:r>
  </w:p>
  <w:p w:rsidR="000D4234" w:rsidRPr="00FA02E1" w:rsidRDefault="000D4234" w:rsidP="00E87BD1">
    <w:pPr>
      <w:pStyle w:val="Encabezado"/>
      <w:rPr>
        <w:rFonts w:ascii="Arial" w:hAnsi="Arial" w:cs="Arial"/>
        <w:b/>
        <w:sz w:val="18"/>
        <w:szCs w:val="18"/>
      </w:rPr>
    </w:pPr>
    <w:r w:rsidRPr="00FA02E1">
      <w:rPr>
        <w:rFonts w:ascii="Arial" w:hAnsi="Arial" w:cs="Arial"/>
        <w:b/>
        <w:sz w:val="18"/>
        <w:szCs w:val="18"/>
      </w:rPr>
      <w:t xml:space="preserve">Página    </w:t>
    </w:r>
    <w:r w:rsidRPr="00FA02E1">
      <w:rPr>
        <w:rFonts w:ascii="Arial" w:hAnsi="Arial" w:cs="Arial"/>
        <w:b/>
        <w:sz w:val="18"/>
        <w:szCs w:val="18"/>
      </w:rPr>
      <w:fldChar w:fldCharType="begin"/>
    </w:r>
    <w:r w:rsidRPr="00FA02E1">
      <w:rPr>
        <w:rFonts w:ascii="Arial" w:hAnsi="Arial" w:cs="Arial"/>
        <w:b/>
        <w:sz w:val="18"/>
        <w:szCs w:val="18"/>
      </w:rPr>
      <w:instrText xml:space="preserve"> PAGE </w:instrText>
    </w:r>
    <w:r w:rsidRPr="00FA02E1">
      <w:rPr>
        <w:rFonts w:ascii="Arial" w:hAnsi="Arial" w:cs="Arial"/>
        <w:b/>
        <w:sz w:val="18"/>
        <w:szCs w:val="18"/>
      </w:rPr>
      <w:fldChar w:fldCharType="separate"/>
    </w:r>
    <w:r w:rsidR="009A6158">
      <w:rPr>
        <w:rFonts w:ascii="Arial" w:hAnsi="Arial" w:cs="Arial"/>
        <w:b/>
        <w:noProof/>
        <w:sz w:val="18"/>
        <w:szCs w:val="18"/>
      </w:rPr>
      <w:t>63</w:t>
    </w:r>
    <w:r w:rsidRPr="00FA02E1">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FA02E1" w:rsidRDefault="000D4234" w:rsidP="00FE17F9">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0D4234" w:rsidRPr="00FA02E1" w:rsidRDefault="000D4234" w:rsidP="00FE17F9">
    <w:pPr>
      <w:pStyle w:val="Encabezado"/>
      <w:jc w:val="center"/>
      <w:rPr>
        <w:rFonts w:ascii="Arial" w:hAnsi="Arial" w:cs="Arial"/>
        <w:sz w:val="28"/>
      </w:rPr>
    </w:pPr>
  </w:p>
  <w:p w:rsidR="000D4234" w:rsidRPr="00FA02E1" w:rsidRDefault="000D4234" w:rsidP="00FE17F9">
    <w:pPr>
      <w:pStyle w:val="Encabezado"/>
      <w:rPr>
        <w:rFonts w:ascii="Arial" w:hAnsi="Arial" w:cs="Arial"/>
        <w:b/>
        <w:sz w:val="18"/>
        <w:szCs w:val="18"/>
      </w:rPr>
    </w:pPr>
    <w:r w:rsidRPr="00FA02E1">
      <w:rPr>
        <w:rFonts w:ascii="Arial" w:hAnsi="Arial" w:cs="Arial"/>
        <w:b/>
        <w:sz w:val="18"/>
        <w:szCs w:val="18"/>
      </w:rPr>
      <w:t>CAPITULO XIII - CONTROLES DE LEY</w:t>
    </w:r>
  </w:p>
  <w:p w:rsidR="000D4234" w:rsidRPr="006F54A7" w:rsidRDefault="000D4234" w:rsidP="00FE17F9">
    <w:pPr>
      <w:pStyle w:val="Encabezado"/>
      <w:rPr>
        <w:rFonts w:ascii="Arial" w:hAnsi="Arial" w:cs="Arial"/>
        <w:b/>
        <w:sz w:val="18"/>
        <w:szCs w:val="18"/>
      </w:rPr>
    </w:pPr>
    <w:r>
      <w:rPr>
        <w:rFonts w:ascii="Arial" w:hAnsi="Arial" w:cs="Arial"/>
        <w:b/>
        <w:sz w:val="18"/>
        <w:szCs w:val="18"/>
      </w:rPr>
      <w:t>Página  66-1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FA02E1" w:rsidRDefault="000D4234" w:rsidP="00ED105F">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0D4234" w:rsidRPr="00FA02E1" w:rsidRDefault="000D4234" w:rsidP="000642DE">
    <w:pPr>
      <w:pStyle w:val="Encabezado"/>
      <w:jc w:val="center"/>
      <w:rPr>
        <w:rFonts w:ascii="Arial" w:hAnsi="Arial" w:cs="Arial"/>
        <w:sz w:val="28"/>
      </w:rPr>
    </w:pPr>
  </w:p>
  <w:p w:rsidR="000D4234" w:rsidRPr="00FA02E1" w:rsidRDefault="000D4234" w:rsidP="000642DE">
    <w:pPr>
      <w:pStyle w:val="Encabezado"/>
      <w:rPr>
        <w:rFonts w:ascii="Arial" w:hAnsi="Arial" w:cs="Arial"/>
        <w:b/>
        <w:sz w:val="18"/>
        <w:szCs w:val="18"/>
      </w:rPr>
    </w:pPr>
    <w:r w:rsidRPr="00FA02E1">
      <w:rPr>
        <w:rFonts w:ascii="Arial" w:hAnsi="Arial" w:cs="Arial"/>
        <w:b/>
        <w:sz w:val="18"/>
        <w:szCs w:val="18"/>
      </w:rPr>
      <w:t>CAPITULO XIII - CONTROLES DE LEY</w:t>
    </w:r>
  </w:p>
  <w:p w:rsidR="000D4234" w:rsidRPr="00FA02E1" w:rsidRDefault="000D4234" w:rsidP="00E87BD1">
    <w:pPr>
      <w:pStyle w:val="Encabezado"/>
      <w:rPr>
        <w:rFonts w:ascii="Arial" w:hAnsi="Arial" w:cs="Arial"/>
        <w:b/>
        <w:sz w:val="18"/>
        <w:szCs w:val="18"/>
      </w:rPr>
    </w:pPr>
    <w:r w:rsidRPr="00FA02E1">
      <w:rPr>
        <w:rFonts w:ascii="Arial" w:hAnsi="Arial" w:cs="Arial"/>
        <w:b/>
        <w:sz w:val="18"/>
        <w:szCs w:val="18"/>
      </w:rPr>
      <w:t xml:space="preserve">Página    </w:t>
    </w:r>
    <w:r>
      <w:rPr>
        <w:rFonts w:ascii="Arial" w:hAnsi="Arial" w:cs="Arial"/>
        <w:b/>
        <w:sz w:val="18"/>
        <w:szCs w:val="18"/>
      </w:rPr>
      <w:t>63-1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FA02E1" w:rsidRDefault="000D4234" w:rsidP="00ED105F">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0D4234" w:rsidRPr="00FA02E1" w:rsidRDefault="000D4234" w:rsidP="000642DE">
    <w:pPr>
      <w:pStyle w:val="Encabezado"/>
      <w:jc w:val="center"/>
      <w:rPr>
        <w:rFonts w:ascii="Arial" w:hAnsi="Arial" w:cs="Arial"/>
        <w:sz w:val="28"/>
      </w:rPr>
    </w:pPr>
  </w:p>
  <w:p w:rsidR="000D4234" w:rsidRPr="00FA02E1" w:rsidRDefault="000D4234" w:rsidP="000642DE">
    <w:pPr>
      <w:pStyle w:val="Encabezado"/>
      <w:rPr>
        <w:rFonts w:ascii="Arial" w:hAnsi="Arial" w:cs="Arial"/>
        <w:b/>
        <w:sz w:val="18"/>
        <w:szCs w:val="18"/>
      </w:rPr>
    </w:pPr>
    <w:r w:rsidRPr="00FA02E1">
      <w:rPr>
        <w:rFonts w:ascii="Arial" w:hAnsi="Arial" w:cs="Arial"/>
        <w:b/>
        <w:sz w:val="18"/>
        <w:szCs w:val="18"/>
      </w:rPr>
      <w:t>CAPITULO XIII - CONTROLES DE LEY</w:t>
    </w:r>
  </w:p>
  <w:p w:rsidR="000D4234" w:rsidRPr="00FA02E1" w:rsidRDefault="000D4234" w:rsidP="00E87BD1">
    <w:pPr>
      <w:pStyle w:val="Encabezado"/>
      <w:rPr>
        <w:rFonts w:ascii="Arial" w:hAnsi="Arial" w:cs="Arial"/>
        <w:b/>
        <w:sz w:val="18"/>
        <w:szCs w:val="18"/>
      </w:rPr>
    </w:pPr>
    <w:r>
      <w:rPr>
        <w:rFonts w:ascii="Arial" w:hAnsi="Arial" w:cs="Arial"/>
        <w:b/>
        <w:sz w:val="18"/>
        <w:szCs w:val="18"/>
      </w:rPr>
      <w:t>Página  64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FA02E1" w:rsidRDefault="000D4234" w:rsidP="000D4234">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0D4234" w:rsidRPr="00FA02E1" w:rsidRDefault="000D4234" w:rsidP="000D4234">
    <w:pPr>
      <w:pStyle w:val="Encabezado"/>
      <w:jc w:val="center"/>
      <w:rPr>
        <w:rFonts w:ascii="Arial" w:hAnsi="Arial" w:cs="Arial"/>
        <w:sz w:val="28"/>
      </w:rPr>
    </w:pPr>
  </w:p>
  <w:p w:rsidR="000D4234" w:rsidRPr="00FA02E1" w:rsidRDefault="000D4234" w:rsidP="000D4234">
    <w:pPr>
      <w:pStyle w:val="Encabezado"/>
      <w:rPr>
        <w:rFonts w:ascii="Arial" w:hAnsi="Arial" w:cs="Arial"/>
        <w:b/>
        <w:sz w:val="18"/>
        <w:szCs w:val="18"/>
      </w:rPr>
    </w:pPr>
    <w:r w:rsidRPr="00FA02E1">
      <w:rPr>
        <w:rFonts w:ascii="Arial" w:hAnsi="Arial" w:cs="Arial"/>
        <w:b/>
        <w:sz w:val="18"/>
        <w:szCs w:val="18"/>
      </w:rPr>
      <w:t>CAPITULO XIII - CONTROLES DE LEY</w:t>
    </w:r>
  </w:p>
  <w:p w:rsidR="000D4234" w:rsidRPr="00FA02E1" w:rsidRDefault="000D4234" w:rsidP="000D4234">
    <w:pPr>
      <w:pStyle w:val="Encabezado"/>
      <w:rPr>
        <w:rFonts w:ascii="Arial" w:hAnsi="Arial" w:cs="Arial"/>
        <w:b/>
        <w:sz w:val="18"/>
        <w:szCs w:val="18"/>
      </w:rPr>
    </w:pPr>
    <w:r>
      <w:rPr>
        <w:rFonts w:ascii="Arial" w:hAnsi="Arial" w:cs="Arial"/>
        <w:b/>
        <w:sz w:val="18"/>
        <w:szCs w:val="18"/>
      </w:rPr>
      <w:t>Página  64-1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FA02E1" w:rsidRDefault="000D4234" w:rsidP="00ED105F">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0D4234" w:rsidRPr="00FA02E1" w:rsidRDefault="000D4234" w:rsidP="000642DE">
    <w:pPr>
      <w:pStyle w:val="Encabezado"/>
      <w:jc w:val="center"/>
      <w:rPr>
        <w:rFonts w:ascii="Arial" w:hAnsi="Arial" w:cs="Arial"/>
        <w:sz w:val="28"/>
      </w:rPr>
    </w:pPr>
  </w:p>
  <w:p w:rsidR="000D4234" w:rsidRPr="00FA02E1" w:rsidRDefault="000D4234" w:rsidP="000642DE">
    <w:pPr>
      <w:pStyle w:val="Encabezado"/>
      <w:rPr>
        <w:rFonts w:ascii="Arial" w:hAnsi="Arial" w:cs="Arial"/>
        <w:b/>
        <w:sz w:val="18"/>
        <w:szCs w:val="18"/>
      </w:rPr>
    </w:pPr>
    <w:r w:rsidRPr="00FA02E1">
      <w:rPr>
        <w:rFonts w:ascii="Arial" w:hAnsi="Arial" w:cs="Arial"/>
        <w:b/>
        <w:sz w:val="18"/>
        <w:szCs w:val="18"/>
      </w:rPr>
      <w:t>CAPITULO XIII - CONTROLES DE LEY</w:t>
    </w:r>
  </w:p>
  <w:p w:rsidR="000D4234" w:rsidRPr="00FA02E1" w:rsidRDefault="000D4234" w:rsidP="00E87BD1">
    <w:pPr>
      <w:pStyle w:val="Encabezado"/>
      <w:rPr>
        <w:rFonts w:ascii="Arial" w:hAnsi="Arial" w:cs="Arial"/>
        <w:b/>
        <w:sz w:val="18"/>
        <w:szCs w:val="18"/>
      </w:rPr>
    </w:pPr>
    <w:r w:rsidRPr="00FA02E1">
      <w:rPr>
        <w:rFonts w:ascii="Arial" w:hAnsi="Arial" w:cs="Arial"/>
        <w:b/>
        <w:sz w:val="18"/>
        <w:szCs w:val="18"/>
      </w:rPr>
      <w:t xml:space="preserve">Página    </w:t>
    </w:r>
    <w:r w:rsidRPr="00FA02E1">
      <w:rPr>
        <w:rFonts w:ascii="Arial" w:hAnsi="Arial" w:cs="Arial"/>
        <w:b/>
        <w:sz w:val="18"/>
        <w:szCs w:val="18"/>
      </w:rPr>
      <w:fldChar w:fldCharType="begin"/>
    </w:r>
    <w:r w:rsidRPr="00FA02E1">
      <w:rPr>
        <w:rFonts w:ascii="Arial" w:hAnsi="Arial" w:cs="Arial"/>
        <w:b/>
        <w:sz w:val="18"/>
        <w:szCs w:val="18"/>
      </w:rPr>
      <w:instrText xml:space="preserve"> PAGE </w:instrText>
    </w:r>
    <w:r w:rsidRPr="00FA02E1">
      <w:rPr>
        <w:rFonts w:ascii="Arial" w:hAnsi="Arial" w:cs="Arial"/>
        <w:b/>
        <w:sz w:val="18"/>
        <w:szCs w:val="18"/>
      </w:rPr>
      <w:fldChar w:fldCharType="separate"/>
    </w:r>
    <w:r w:rsidR="009A6158">
      <w:rPr>
        <w:rFonts w:ascii="Arial" w:hAnsi="Arial" w:cs="Arial"/>
        <w:b/>
        <w:noProof/>
        <w:sz w:val="18"/>
        <w:szCs w:val="18"/>
      </w:rPr>
      <w:t>65</w:t>
    </w:r>
    <w:r w:rsidRPr="00FA02E1">
      <w:rPr>
        <w:rFonts w:ascii="Arial" w:hAnsi="Arial" w:cs="Arial"/>
        <w:b/>
        <w:sz w:val="18"/>
        <w:szCs w:val="1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FA02E1" w:rsidRDefault="000D4234" w:rsidP="00ED105F">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0D4234" w:rsidRPr="00FA02E1" w:rsidRDefault="000D4234" w:rsidP="000642DE">
    <w:pPr>
      <w:pStyle w:val="Encabezado"/>
      <w:jc w:val="center"/>
      <w:rPr>
        <w:rFonts w:ascii="Arial" w:hAnsi="Arial" w:cs="Arial"/>
        <w:sz w:val="28"/>
      </w:rPr>
    </w:pPr>
  </w:p>
  <w:p w:rsidR="000D4234" w:rsidRPr="00FA02E1" w:rsidRDefault="000D4234" w:rsidP="000642DE">
    <w:pPr>
      <w:pStyle w:val="Encabezado"/>
      <w:rPr>
        <w:rFonts w:ascii="Arial" w:hAnsi="Arial" w:cs="Arial"/>
        <w:b/>
        <w:sz w:val="18"/>
        <w:szCs w:val="18"/>
      </w:rPr>
    </w:pPr>
    <w:r w:rsidRPr="00FA02E1">
      <w:rPr>
        <w:rFonts w:ascii="Arial" w:hAnsi="Arial" w:cs="Arial"/>
        <w:b/>
        <w:sz w:val="18"/>
        <w:szCs w:val="18"/>
      </w:rPr>
      <w:t>CAPITULO XIII - CONTROLES DE LEY</w:t>
    </w:r>
  </w:p>
  <w:p w:rsidR="000D4234" w:rsidRPr="00FA02E1" w:rsidRDefault="000D4234" w:rsidP="00E87BD1">
    <w:pPr>
      <w:pStyle w:val="Encabezado"/>
      <w:rPr>
        <w:rFonts w:ascii="Arial" w:hAnsi="Arial" w:cs="Arial"/>
        <w:b/>
        <w:sz w:val="18"/>
        <w:szCs w:val="18"/>
      </w:rPr>
    </w:pPr>
    <w:r>
      <w:rPr>
        <w:rFonts w:ascii="Arial" w:hAnsi="Arial" w:cs="Arial"/>
        <w:b/>
        <w:sz w:val="18"/>
        <w:szCs w:val="18"/>
      </w:rPr>
      <w:t>Página  66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34" w:rsidRPr="00FA02E1" w:rsidRDefault="000D4234" w:rsidP="00ED105F">
    <w:pPr>
      <w:pStyle w:val="Encabezado"/>
      <w:jc w:val="center"/>
      <w:rPr>
        <w:rFonts w:ascii="Arial" w:hAnsi="Arial" w:cs="Arial"/>
        <w:b/>
        <w:sz w:val="24"/>
        <w:szCs w:val="22"/>
      </w:rPr>
    </w:pPr>
    <w:r w:rsidRPr="00FA02E1">
      <w:rPr>
        <w:rFonts w:ascii="Arial" w:hAnsi="Arial" w:cs="Arial"/>
        <w:b/>
        <w:sz w:val="24"/>
        <w:szCs w:val="22"/>
      </w:rPr>
      <w:t>SUPERINTENDENCIA FINANCIERA DE COLOMBIA</w:t>
    </w:r>
  </w:p>
  <w:p w:rsidR="000D4234" w:rsidRPr="00FA02E1" w:rsidRDefault="000D4234" w:rsidP="000642DE">
    <w:pPr>
      <w:pStyle w:val="Encabezado"/>
      <w:jc w:val="center"/>
      <w:rPr>
        <w:rFonts w:ascii="Arial" w:hAnsi="Arial" w:cs="Arial"/>
        <w:sz w:val="28"/>
      </w:rPr>
    </w:pPr>
  </w:p>
  <w:p w:rsidR="000D4234" w:rsidRPr="00FA02E1" w:rsidRDefault="000D4234" w:rsidP="000642DE">
    <w:pPr>
      <w:pStyle w:val="Encabezado"/>
      <w:rPr>
        <w:rFonts w:ascii="Arial" w:hAnsi="Arial" w:cs="Arial"/>
        <w:b/>
        <w:sz w:val="18"/>
        <w:szCs w:val="18"/>
      </w:rPr>
    </w:pPr>
    <w:r w:rsidRPr="00FA02E1">
      <w:rPr>
        <w:rFonts w:ascii="Arial" w:hAnsi="Arial" w:cs="Arial"/>
        <w:b/>
        <w:sz w:val="18"/>
        <w:szCs w:val="18"/>
      </w:rPr>
      <w:t>CAPITULO XIII - CONTROLES DE LEY</w:t>
    </w:r>
  </w:p>
  <w:p w:rsidR="000D4234" w:rsidRPr="00FA02E1" w:rsidRDefault="000D4234" w:rsidP="00E87BD1">
    <w:pPr>
      <w:pStyle w:val="Encabezado"/>
      <w:rPr>
        <w:rFonts w:ascii="Arial" w:hAnsi="Arial" w:cs="Arial"/>
        <w:b/>
        <w:sz w:val="18"/>
        <w:szCs w:val="18"/>
      </w:rPr>
    </w:pPr>
    <w:r>
      <w:rPr>
        <w:rFonts w:ascii="Arial" w:hAnsi="Arial" w:cs="Arial"/>
        <w:b/>
        <w:sz w:val="18"/>
        <w:szCs w:val="18"/>
      </w:rPr>
      <w:t>Página  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656"/>
    <w:multiLevelType w:val="hybridMultilevel"/>
    <w:tmpl w:val="7F3200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BB4A53"/>
    <w:multiLevelType w:val="hybridMultilevel"/>
    <w:tmpl w:val="2FF8A1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2C3FB1"/>
    <w:multiLevelType w:val="multilevel"/>
    <w:tmpl w:val="5B1E1C54"/>
    <w:lvl w:ilvl="0">
      <w:start w:val="2"/>
      <w:numFmt w:val="decimal"/>
      <w:lvlText w:val="%1"/>
      <w:lvlJc w:val="left"/>
      <w:pPr>
        <w:ind w:left="705" w:hanging="705"/>
      </w:pPr>
      <w:rPr>
        <w:rFonts w:hint="default"/>
      </w:rPr>
    </w:lvl>
    <w:lvl w:ilvl="1">
      <w:start w:val="1"/>
      <w:numFmt w:val="decimal"/>
      <w:lvlText w:val="%1.%2"/>
      <w:lvlJc w:val="left"/>
      <w:pPr>
        <w:ind w:left="917" w:hanging="705"/>
      </w:pPr>
      <w:rPr>
        <w:rFonts w:hint="default"/>
      </w:rPr>
    </w:lvl>
    <w:lvl w:ilvl="2">
      <w:start w:val="1"/>
      <w:numFmt w:val="decimal"/>
      <w:lvlText w:val="%1.%2.%3"/>
      <w:lvlJc w:val="left"/>
      <w:pPr>
        <w:ind w:left="1144" w:hanging="720"/>
      </w:pPr>
      <w:rPr>
        <w:rFonts w:hint="default"/>
      </w:rPr>
    </w:lvl>
    <w:lvl w:ilvl="3">
      <w:start w:val="3"/>
      <w:numFmt w:val="decimal"/>
      <w:lvlText w:val="%1.%2.%3.%4"/>
      <w:lvlJc w:val="left"/>
      <w:pPr>
        <w:ind w:left="1356" w:hanging="720"/>
      </w:pPr>
      <w:rPr>
        <w:rFonts w:hint="default"/>
      </w:rPr>
    </w:lvl>
    <w:lvl w:ilvl="4">
      <w:start w:val="1"/>
      <w:numFmt w:val="decimal"/>
      <w:lvlText w:val="%1.%2.%3.%4.%5"/>
      <w:lvlJc w:val="left"/>
      <w:pPr>
        <w:ind w:left="1568" w:hanging="72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3">
    <w:nsid w:val="04B13BF6"/>
    <w:multiLevelType w:val="multilevel"/>
    <w:tmpl w:val="A55AF7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nsid w:val="0A4E78A1"/>
    <w:multiLevelType w:val="hybridMultilevel"/>
    <w:tmpl w:val="875E9BEC"/>
    <w:lvl w:ilvl="0" w:tplc="E4FE8C3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BD05D45"/>
    <w:multiLevelType w:val="multilevel"/>
    <w:tmpl w:val="2C7CFE7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0BF86C3A"/>
    <w:multiLevelType w:val="hybridMultilevel"/>
    <w:tmpl w:val="659A64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41E64DF"/>
    <w:multiLevelType w:val="hybridMultilevel"/>
    <w:tmpl w:val="62887E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55763F6"/>
    <w:multiLevelType w:val="multilevel"/>
    <w:tmpl w:val="315E2B3E"/>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8A11C31"/>
    <w:multiLevelType w:val="hybridMultilevel"/>
    <w:tmpl w:val="B52499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D49380C"/>
    <w:multiLevelType w:val="hybridMultilevel"/>
    <w:tmpl w:val="90C2CC8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07E3615"/>
    <w:multiLevelType w:val="multilevel"/>
    <w:tmpl w:val="2252E7C4"/>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6"/>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1FE3834"/>
    <w:multiLevelType w:val="hybridMultilevel"/>
    <w:tmpl w:val="812296FC"/>
    <w:lvl w:ilvl="0" w:tplc="1CAEA5FE">
      <w:start w:val="1335"/>
      <w:numFmt w:val="decimal"/>
      <w:lvlText w:val="%1"/>
      <w:lvlJc w:val="left"/>
      <w:pPr>
        <w:tabs>
          <w:tab w:val="num" w:pos="1425"/>
        </w:tabs>
        <w:ind w:left="1425" w:hanging="1200"/>
      </w:pPr>
      <w:rPr>
        <w:rFonts w:hint="default"/>
      </w:rPr>
    </w:lvl>
    <w:lvl w:ilvl="1" w:tplc="0C0A0019" w:tentative="1">
      <w:start w:val="1"/>
      <w:numFmt w:val="lowerLetter"/>
      <w:lvlText w:val="%2."/>
      <w:lvlJc w:val="left"/>
      <w:pPr>
        <w:tabs>
          <w:tab w:val="num" w:pos="1305"/>
        </w:tabs>
        <w:ind w:left="1305" w:hanging="360"/>
      </w:pPr>
    </w:lvl>
    <w:lvl w:ilvl="2" w:tplc="0C0A001B" w:tentative="1">
      <w:start w:val="1"/>
      <w:numFmt w:val="lowerRoman"/>
      <w:lvlText w:val="%3."/>
      <w:lvlJc w:val="right"/>
      <w:pPr>
        <w:tabs>
          <w:tab w:val="num" w:pos="2025"/>
        </w:tabs>
        <w:ind w:left="2025" w:hanging="180"/>
      </w:pPr>
    </w:lvl>
    <w:lvl w:ilvl="3" w:tplc="0C0A000F" w:tentative="1">
      <w:start w:val="1"/>
      <w:numFmt w:val="decimal"/>
      <w:lvlText w:val="%4."/>
      <w:lvlJc w:val="left"/>
      <w:pPr>
        <w:tabs>
          <w:tab w:val="num" w:pos="2745"/>
        </w:tabs>
        <w:ind w:left="2745" w:hanging="360"/>
      </w:pPr>
    </w:lvl>
    <w:lvl w:ilvl="4" w:tplc="0C0A0019" w:tentative="1">
      <w:start w:val="1"/>
      <w:numFmt w:val="lowerLetter"/>
      <w:lvlText w:val="%5."/>
      <w:lvlJc w:val="left"/>
      <w:pPr>
        <w:tabs>
          <w:tab w:val="num" w:pos="3465"/>
        </w:tabs>
        <w:ind w:left="3465" w:hanging="360"/>
      </w:pPr>
    </w:lvl>
    <w:lvl w:ilvl="5" w:tplc="0C0A001B" w:tentative="1">
      <w:start w:val="1"/>
      <w:numFmt w:val="lowerRoman"/>
      <w:lvlText w:val="%6."/>
      <w:lvlJc w:val="right"/>
      <w:pPr>
        <w:tabs>
          <w:tab w:val="num" w:pos="4185"/>
        </w:tabs>
        <w:ind w:left="4185" w:hanging="180"/>
      </w:pPr>
    </w:lvl>
    <w:lvl w:ilvl="6" w:tplc="0C0A000F" w:tentative="1">
      <w:start w:val="1"/>
      <w:numFmt w:val="decimal"/>
      <w:lvlText w:val="%7."/>
      <w:lvlJc w:val="left"/>
      <w:pPr>
        <w:tabs>
          <w:tab w:val="num" w:pos="4905"/>
        </w:tabs>
        <w:ind w:left="4905" w:hanging="360"/>
      </w:pPr>
    </w:lvl>
    <w:lvl w:ilvl="7" w:tplc="0C0A0019" w:tentative="1">
      <w:start w:val="1"/>
      <w:numFmt w:val="lowerLetter"/>
      <w:lvlText w:val="%8."/>
      <w:lvlJc w:val="left"/>
      <w:pPr>
        <w:tabs>
          <w:tab w:val="num" w:pos="5625"/>
        </w:tabs>
        <w:ind w:left="5625" w:hanging="360"/>
      </w:pPr>
    </w:lvl>
    <w:lvl w:ilvl="8" w:tplc="0C0A001B" w:tentative="1">
      <w:start w:val="1"/>
      <w:numFmt w:val="lowerRoman"/>
      <w:lvlText w:val="%9."/>
      <w:lvlJc w:val="right"/>
      <w:pPr>
        <w:tabs>
          <w:tab w:val="num" w:pos="6345"/>
        </w:tabs>
        <w:ind w:left="6345" w:hanging="180"/>
      </w:pPr>
    </w:lvl>
  </w:abstractNum>
  <w:abstractNum w:abstractNumId="13">
    <w:nsid w:val="2661110C"/>
    <w:multiLevelType w:val="multilevel"/>
    <w:tmpl w:val="3B78E00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B410F8D"/>
    <w:multiLevelType w:val="multilevel"/>
    <w:tmpl w:val="89724EC4"/>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5"/>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FEA5040"/>
    <w:multiLevelType w:val="hybridMultilevel"/>
    <w:tmpl w:val="E4343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2CA2E19"/>
    <w:multiLevelType w:val="hybridMultilevel"/>
    <w:tmpl w:val="56A6A4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2F81D93"/>
    <w:multiLevelType w:val="multilevel"/>
    <w:tmpl w:val="AB0091C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C430DB"/>
    <w:multiLevelType w:val="singleLevel"/>
    <w:tmpl w:val="C7FED0A8"/>
    <w:lvl w:ilvl="0">
      <w:start w:val="1"/>
      <w:numFmt w:val="upperLetter"/>
      <w:lvlText w:val="%1. "/>
      <w:legacy w:legacy="1" w:legacySpace="0" w:legacyIndent="283"/>
      <w:lvlJc w:val="left"/>
      <w:pPr>
        <w:ind w:left="283" w:hanging="283"/>
      </w:pPr>
      <w:rPr>
        <w:rFonts w:ascii="Arial" w:hAnsi="Arial" w:hint="default"/>
        <w:b w:val="0"/>
        <w:i w:val="0"/>
        <w:sz w:val="16"/>
      </w:rPr>
    </w:lvl>
  </w:abstractNum>
  <w:abstractNum w:abstractNumId="19">
    <w:nsid w:val="3E213029"/>
    <w:multiLevelType w:val="hybridMultilevel"/>
    <w:tmpl w:val="C2222132"/>
    <w:lvl w:ilvl="0" w:tplc="512A4E5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125677A"/>
    <w:multiLevelType w:val="hybridMultilevel"/>
    <w:tmpl w:val="BE4843B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2016883"/>
    <w:multiLevelType w:val="hybridMultilevel"/>
    <w:tmpl w:val="6F161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7F004AF"/>
    <w:multiLevelType w:val="hybridMultilevel"/>
    <w:tmpl w:val="9698D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9F57A8E"/>
    <w:multiLevelType w:val="hybridMultilevel"/>
    <w:tmpl w:val="6BF653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A100240"/>
    <w:multiLevelType w:val="hybridMultilevel"/>
    <w:tmpl w:val="A6D238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B4F4E93"/>
    <w:multiLevelType w:val="multilevel"/>
    <w:tmpl w:val="FE70C9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4D1F7119"/>
    <w:multiLevelType w:val="multilevel"/>
    <w:tmpl w:val="44804008"/>
    <w:lvl w:ilvl="0">
      <w:start w:val="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2927228"/>
    <w:multiLevelType w:val="hybridMultilevel"/>
    <w:tmpl w:val="AD7C0C6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4213A4B"/>
    <w:multiLevelType w:val="multilevel"/>
    <w:tmpl w:val="FB3829E8"/>
    <w:lvl w:ilvl="0">
      <w:start w:val="2"/>
      <w:numFmt w:val="decimal"/>
      <w:lvlText w:val="%1"/>
      <w:lvlJc w:val="left"/>
      <w:pPr>
        <w:ind w:left="495" w:hanging="495"/>
      </w:pPr>
      <w:rPr>
        <w:rFonts w:cs="Arial" w:hint="default"/>
        <w:b/>
      </w:rPr>
    </w:lvl>
    <w:lvl w:ilvl="1">
      <w:start w:val="2"/>
      <w:numFmt w:val="decimal"/>
      <w:lvlText w:val="%1.%2"/>
      <w:lvlJc w:val="left"/>
      <w:pPr>
        <w:ind w:left="495" w:hanging="495"/>
      </w:pPr>
      <w:rPr>
        <w:rFonts w:cs="Arial" w:hint="default"/>
        <w:b/>
      </w:rPr>
    </w:lvl>
    <w:lvl w:ilvl="2">
      <w:start w:val="2"/>
      <w:numFmt w:val="decimal"/>
      <w:lvlText w:val="%1.%2.%3"/>
      <w:lvlJc w:val="left"/>
      <w:pPr>
        <w:ind w:left="720" w:hanging="720"/>
      </w:pPr>
      <w:rPr>
        <w:rFonts w:cs="Arial" w:hint="default"/>
        <w:b/>
      </w:rPr>
    </w:lvl>
    <w:lvl w:ilvl="3">
      <w:start w:val="6"/>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29">
    <w:nsid w:val="561F34CD"/>
    <w:multiLevelType w:val="hybridMultilevel"/>
    <w:tmpl w:val="C3E48822"/>
    <w:lvl w:ilvl="0" w:tplc="0C0A001B">
      <w:start w:val="1"/>
      <w:numFmt w:val="lowerRoman"/>
      <w:lvlText w:val="%1."/>
      <w:lvlJc w:val="righ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68F6285"/>
    <w:multiLevelType w:val="multilevel"/>
    <w:tmpl w:val="BE96F266"/>
    <w:lvl w:ilvl="0">
      <w:start w:val="2"/>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5"/>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3"/>
      <w:numFmt w:val="decimal"/>
      <w:lvlText w:val="%1.%2.%3.%4.%5"/>
      <w:lvlJc w:val="left"/>
      <w:pPr>
        <w:ind w:left="765" w:hanging="76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58F204A5"/>
    <w:multiLevelType w:val="hybridMultilevel"/>
    <w:tmpl w:val="8A0ED9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B226737"/>
    <w:multiLevelType w:val="singleLevel"/>
    <w:tmpl w:val="C7FED0A8"/>
    <w:lvl w:ilvl="0">
      <w:start w:val="1"/>
      <w:numFmt w:val="upperLetter"/>
      <w:lvlText w:val="%1. "/>
      <w:legacy w:legacy="1" w:legacySpace="0" w:legacyIndent="283"/>
      <w:lvlJc w:val="left"/>
      <w:pPr>
        <w:ind w:left="283" w:hanging="283"/>
      </w:pPr>
      <w:rPr>
        <w:rFonts w:ascii="Arial" w:hAnsi="Arial" w:hint="default"/>
        <w:b w:val="0"/>
        <w:i w:val="0"/>
        <w:sz w:val="16"/>
      </w:rPr>
    </w:lvl>
  </w:abstractNum>
  <w:abstractNum w:abstractNumId="33">
    <w:nsid w:val="666579EC"/>
    <w:multiLevelType w:val="multilevel"/>
    <w:tmpl w:val="48CE6F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84F649B"/>
    <w:multiLevelType w:val="hybridMultilevel"/>
    <w:tmpl w:val="EB7A3C9C"/>
    <w:lvl w:ilvl="0" w:tplc="F704D95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B10153D"/>
    <w:multiLevelType w:val="multilevel"/>
    <w:tmpl w:val="CDACE408"/>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B3B7316"/>
    <w:multiLevelType w:val="hybridMultilevel"/>
    <w:tmpl w:val="CDE0A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BC5228C"/>
    <w:multiLevelType w:val="multilevel"/>
    <w:tmpl w:val="3B78E00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47D4114"/>
    <w:multiLevelType w:val="hybridMultilevel"/>
    <w:tmpl w:val="A386D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F095009"/>
    <w:multiLevelType w:val="multilevel"/>
    <w:tmpl w:val="394ECE9C"/>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12"/>
  </w:num>
  <w:num w:numId="3">
    <w:abstractNumId w:val="29"/>
  </w:num>
  <w:num w:numId="4">
    <w:abstractNumId w:val="21"/>
  </w:num>
  <w:num w:numId="5">
    <w:abstractNumId w:val="6"/>
  </w:num>
  <w:num w:numId="6">
    <w:abstractNumId w:val="16"/>
  </w:num>
  <w:num w:numId="7">
    <w:abstractNumId w:val="38"/>
  </w:num>
  <w:num w:numId="8">
    <w:abstractNumId w:val="36"/>
  </w:num>
  <w:num w:numId="9">
    <w:abstractNumId w:val="18"/>
  </w:num>
  <w:num w:numId="10">
    <w:abstractNumId w:val="25"/>
  </w:num>
  <w:num w:numId="11">
    <w:abstractNumId w:val="5"/>
  </w:num>
  <w:num w:numId="12">
    <w:abstractNumId w:val="11"/>
  </w:num>
  <w:num w:numId="13">
    <w:abstractNumId w:val="39"/>
  </w:num>
  <w:num w:numId="14">
    <w:abstractNumId w:val="14"/>
  </w:num>
  <w:num w:numId="15">
    <w:abstractNumId w:val="26"/>
  </w:num>
  <w:num w:numId="16">
    <w:abstractNumId w:val="28"/>
  </w:num>
  <w:num w:numId="17">
    <w:abstractNumId w:val="30"/>
  </w:num>
  <w:num w:numId="18">
    <w:abstractNumId w:val="37"/>
  </w:num>
  <w:num w:numId="19">
    <w:abstractNumId w:val="15"/>
  </w:num>
  <w:num w:numId="20">
    <w:abstractNumId w:val="13"/>
  </w:num>
  <w:num w:numId="21">
    <w:abstractNumId w:val="3"/>
  </w:num>
  <w:num w:numId="22">
    <w:abstractNumId w:val="19"/>
  </w:num>
  <w:num w:numId="23">
    <w:abstractNumId w:val="0"/>
  </w:num>
  <w:num w:numId="24">
    <w:abstractNumId w:val="27"/>
  </w:num>
  <w:num w:numId="25">
    <w:abstractNumId w:val="4"/>
  </w:num>
  <w:num w:numId="26">
    <w:abstractNumId w:val="9"/>
  </w:num>
  <w:num w:numId="27">
    <w:abstractNumId w:val="2"/>
  </w:num>
  <w:num w:numId="28">
    <w:abstractNumId w:val="23"/>
  </w:num>
  <w:num w:numId="29">
    <w:abstractNumId w:val="1"/>
  </w:num>
  <w:num w:numId="30">
    <w:abstractNumId w:val="10"/>
  </w:num>
  <w:num w:numId="31">
    <w:abstractNumId w:val="31"/>
  </w:num>
  <w:num w:numId="32">
    <w:abstractNumId w:val="7"/>
  </w:num>
  <w:num w:numId="33">
    <w:abstractNumId w:val="34"/>
  </w:num>
  <w:num w:numId="34">
    <w:abstractNumId w:val="22"/>
  </w:num>
  <w:num w:numId="35">
    <w:abstractNumId w:val="17"/>
  </w:num>
  <w:num w:numId="36">
    <w:abstractNumId w:val="35"/>
  </w:num>
  <w:num w:numId="37">
    <w:abstractNumId w:val="24"/>
  </w:num>
  <w:num w:numId="38">
    <w:abstractNumId w:val="20"/>
  </w:num>
  <w:num w:numId="39">
    <w:abstractNumId w:val="33"/>
  </w:num>
  <w:num w:numId="4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B2B"/>
    <w:rsid w:val="000072DA"/>
    <w:rsid w:val="00011C77"/>
    <w:rsid w:val="00014182"/>
    <w:rsid w:val="000156BB"/>
    <w:rsid w:val="00015967"/>
    <w:rsid w:val="00016690"/>
    <w:rsid w:val="0002085D"/>
    <w:rsid w:val="00023741"/>
    <w:rsid w:val="00025BA5"/>
    <w:rsid w:val="000271DE"/>
    <w:rsid w:val="00036956"/>
    <w:rsid w:val="00037430"/>
    <w:rsid w:val="00040B3C"/>
    <w:rsid w:val="000565CA"/>
    <w:rsid w:val="0005682F"/>
    <w:rsid w:val="000625CA"/>
    <w:rsid w:val="00062F5F"/>
    <w:rsid w:val="00063630"/>
    <w:rsid w:val="000642DE"/>
    <w:rsid w:val="000722CD"/>
    <w:rsid w:val="000806A7"/>
    <w:rsid w:val="00083382"/>
    <w:rsid w:val="00086E24"/>
    <w:rsid w:val="00090FB5"/>
    <w:rsid w:val="00091363"/>
    <w:rsid w:val="00092DE2"/>
    <w:rsid w:val="00093625"/>
    <w:rsid w:val="000968D9"/>
    <w:rsid w:val="000A4551"/>
    <w:rsid w:val="000B0C64"/>
    <w:rsid w:val="000C0F2B"/>
    <w:rsid w:val="000C11BB"/>
    <w:rsid w:val="000C6FCC"/>
    <w:rsid w:val="000D06D7"/>
    <w:rsid w:val="000D258E"/>
    <w:rsid w:val="000D4234"/>
    <w:rsid w:val="000D58B7"/>
    <w:rsid w:val="000E3FAE"/>
    <w:rsid w:val="000E6008"/>
    <w:rsid w:val="000F0B48"/>
    <w:rsid w:val="000F0FD7"/>
    <w:rsid w:val="000F467E"/>
    <w:rsid w:val="001008C7"/>
    <w:rsid w:val="0010195B"/>
    <w:rsid w:val="00110160"/>
    <w:rsid w:val="00111855"/>
    <w:rsid w:val="00112B88"/>
    <w:rsid w:val="00113BE4"/>
    <w:rsid w:val="00114BB2"/>
    <w:rsid w:val="00120689"/>
    <w:rsid w:val="001258D6"/>
    <w:rsid w:val="001269FE"/>
    <w:rsid w:val="00126EEA"/>
    <w:rsid w:val="00134453"/>
    <w:rsid w:val="00134719"/>
    <w:rsid w:val="00134D20"/>
    <w:rsid w:val="00140A51"/>
    <w:rsid w:val="001414B5"/>
    <w:rsid w:val="001429CD"/>
    <w:rsid w:val="00143224"/>
    <w:rsid w:val="001511DE"/>
    <w:rsid w:val="00160DAB"/>
    <w:rsid w:val="001643CB"/>
    <w:rsid w:val="001711D0"/>
    <w:rsid w:val="001725D9"/>
    <w:rsid w:val="00177E67"/>
    <w:rsid w:val="00191164"/>
    <w:rsid w:val="0019125F"/>
    <w:rsid w:val="001917EA"/>
    <w:rsid w:val="00192580"/>
    <w:rsid w:val="0019279C"/>
    <w:rsid w:val="00195B35"/>
    <w:rsid w:val="001A14B7"/>
    <w:rsid w:val="001A2387"/>
    <w:rsid w:val="001A2D0A"/>
    <w:rsid w:val="001A3867"/>
    <w:rsid w:val="001A684F"/>
    <w:rsid w:val="001A781B"/>
    <w:rsid w:val="001B6483"/>
    <w:rsid w:val="001B7CCE"/>
    <w:rsid w:val="001C0468"/>
    <w:rsid w:val="001C163A"/>
    <w:rsid w:val="001C1C43"/>
    <w:rsid w:val="001C224D"/>
    <w:rsid w:val="001D1463"/>
    <w:rsid w:val="001D227E"/>
    <w:rsid w:val="001D401A"/>
    <w:rsid w:val="001E11E0"/>
    <w:rsid w:val="001E600F"/>
    <w:rsid w:val="001F1425"/>
    <w:rsid w:val="001F354E"/>
    <w:rsid w:val="001F438E"/>
    <w:rsid w:val="002022DE"/>
    <w:rsid w:val="00202FBB"/>
    <w:rsid w:val="002035F7"/>
    <w:rsid w:val="00204EFF"/>
    <w:rsid w:val="00207051"/>
    <w:rsid w:val="002073A9"/>
    <w:rsid w:val="0021247C"/>
    <w:rsid w:val="00213164"/>
    <w:rsid w:val="0021376B"/>
    <w:rsid w:val="00216A8C"/>
    <w:rsid w:val="00217398"/>
    <w:rsid w:val="002178E5"/>
    <w:rsid w:val="00222194"/>
    <w:rsid w:val="002258AB"/>
    <w:rsid w:val="002303A3"/>
    <w:rsid w:val="00231D1E"/>
    <w:rsid w:val="002364EA"/>
    <w:rsid w:val="0023695E"/>
    <w:rsid w:val="00236B55"/>
    <w:rsid w:val="00241376"/>
    <w:rsid w:val="0024625D"/>
    <w:rsid w:val="00247C4E"/>
    <w:rsid w:val="00252E53"/>
    <w:rsid w:val="00255BF3"/>
    <w:rsid w:val="0025664A"/>
    <w:rsid w:val="00257709"/>
    <w:rsid w:val="00257F1F"/>
    <w:rsid w:val="00263665"/>
    <w:rsid w:val="00263C7C"/>
    <w:rsid w:val="00264BEE"/>
    <w:rsid w:val="00265232"/>
    <w:rsid w:val="00266393"/>
    <w:rsid w:val="00266E72"/>
    <w:rsid w:val="00271D20"/>
    <w:rsid w:val="00272B2B"/>
    <w:rsid w:val="00275285"/>
    <w:rsid w:val="00276328"/>
    <w:rsid w:val="0027635B"/>
    <w:rsid w:val="00282E07"/>
    <w:rsid w:val="0028353B"/>
    <w:rsid w:val="00286C29"/>
    <w:rsid w:val="00286DA2"/>
    <w:rsid w:val="00292080"/>
    <w:rsid w:val="0029339A"/>
    <w:rsid w:val="002A56FB"/>
    <w:rsid w:val="002B05AC"/>
    <w:rsid w:val="002B1EDB"/>
    <w:rsid w:val="002B7EE7"/>
    <w:rsid w:val="002C33D1"/>
    <w:rsid w:val="002E4C02"/>
    <w:rsid w:val="002F0F6C"/>
    <w:rsid w:val="002F2450"/>
    <w:rsid w:val="002F7401"/>
    <w:rsid w:val="0030058A"/>
    <w:rsid w:val="00304A85"/>
    <w:rsid w:val="00306DD7"/>
    <w:rsid w:val="00310033"/>
    <w:rsid w:val="003105FE"/>
    <w:rsid w:val="00310917"/>
    <w:rsid w:val="0031332F"/>
    <w:rsid w:val="00313A3D"/>
    <w:rsid w:val="003143A3"/>
    <w:rsid w:val="00314AAD"/>
    <w:rsid w:val="0031585B"/>
    <w:rsid w:val="0031589D"/>
    <w:rsid w:val="00317F3E"/>
    <w:rsid w:val="00320582"/>
    <w:rsid w:val="00320759"/>
    <w:rsid w:val="003209AC"/>
    <w:rsid w:val="00323E6A"/>
    <w:rsid w:val="00333C84"/>
    <w:rsid w:val="00334928"/>
    <w:rsid w:val="003352FD"/>
    <w:rsid w:val="0034087E"/>
    <w:rsid w:val="00341153"/>
    <w:rsid w:val="003433C2"/>
    <w:rsid w:val="00343553"/>
    <w:rsid w:val="00345475"/>
    <w:rsid w:val="00345502"/>
    <w:rsid w:val="0035567A"/>
    <w:rsid w:val="00362974"/>
    <w:rsid w:val="003677EE"/>
    <w:rsid w:val="00371BBF"/>
    <w:rsid w:val="003721EE"/>
    <w:rsid w:val="00375172"/>
    <w:rsid w:val="00375430"/>
    <w:rsid w:val="003757F4"/>
    <w:rsid w:val="003811B6"/>
    <w:rsid w:val="0038498D"/>
    <w:rsid w:val="00384E79"/>
    <w:rsid w:val="00386B66"/>
    <w:rsid w:val="00390F84"/>
    <w:rsid w:val="00393089"/>
    <w:rsid w:val="00393811"/>
    <w:rsid w:val="00395A6C"/>
    <w:rsid w:val="00396C61"/>
    <w:rsid w:val="003978E3"/>
    <w:rsid w:val="003A13D1"/>
    <w:rsid w:val="003A1AA3"/>
    <w:rsid w:val="003A5068"/>
    <w:rsid w:val="003B48A4"/>
    <w:rsid w:val="003C018E"/>
    <w:rsid w:val="003C41BC"/>
    <w:rsid w:val="003C4D4E"/>
    <w:rsid w:val="003C738C"/>
    <w:rsid w:val="003D1BC1"/>
    <w:rsid w:val="003D1C37"/>
    <w:rsid w:val="003D1F69"/>
    <w:rsid w:val="003D6447"/>
    <w:rsid w:val="003D71A4"/>
    <w:rsid w:val="003E06D5"/>
    <w:rsid w:val="003E70F5"/>
    <w:rsid w:val="003F10CC"/>
    <w:rsid w:val="003F15FE"/>
    <w:rsid w:val="003F29C0"/>
    <w:rsid w:val="003F46AA"/>
    <w:rsid w:val="003F60A6"/>
    <w:rsid w:val="0040565C"/>
    <w:rsid w:val="00406D1C"/>
    <w:rsid w:val="004070CA"/>
    <w:rsid w:val="00407A58"/>
    <w:rsid w:val="004105E4"/>
    <w:rsid w:val="00411530"/>
    <w:rsid w:val="004173C5"/>
    <w:rsid w:val="0042172E"/>
    <w:rsid w:val="00421981"/>
    <w:rsid w:val="0042684C"/>
    <w:rsid w:val="00426EF4"/>
    <w:rsid w:val="0043171C"/>
    <w:rsid w:val="00431CAA"/>
    <w:rsid w:val="00432C44"/>
    <w:rsid w:val="00433E7E"/>
    <w:rsid w:val="00435A22"/>
    <w:rsid w:val="00445411"/>
    <w:rsid w:val="00463168"/>
    <w:rsid w:val="00470602"/>
    <w:rsid w:val="00473E8C"/>
    <w:rsid w:val="00473EE6"/>
    <w:rsid w:val="00474096"/>
    <w:rsid w:val="004740A5"/>
    <w:rsid w:val="0047780A"/>
    <w:rsid w:val="00483B17"/>
    <w:rsid w:val="00484651"/>
    <w:rsid w:val="00484F8E"/>
    <w:rsid w:val="00485005"/>
    <w:rsid w:val="004909DB"/>
    <w:rsid w:val="00491152"/>
    <w:rsid w:val="004A2379"/>
    <w:rsid w:val="004A3292"/>
    <w:rsid w:val="004A32B9"/>
    <w:rsid w:val="004A5955"/>
    <w:rsid w:val="004B1E11"/>
    <w:rsid w:val="004B2DF4"/>
    <w:rsid w:val="004B7C29"/>
    <w:rsid w:val="004C28F4"/>
    <w:rsid w:val="004C7645"/>
    <w:rsid w:val="004D0826"/>
    <w:rsid w:val="004D2C71"/>
    <w:rsid w:val="004D343F"/>
    <w:rsid w:val="004D387F"/>
    <w:rsid w:val="004D4D4B"/>
    <w:rsid w:val="004D5BAD"/>
    <w:rsid w:val="004E1576"/>
    <w:rsid w:val="004E71D2"/>
    <w:rsid w:val="004F3538"/>
    <w:rsid w:val="004F58FC"/>
    <w:rsid w:val="004F70F8"/>
    <w:rsid w:val="00502210"/>
    <w:rsid w:val="005054D7"/>
    <w:rsid w:val="005072A7"/>
    <w:rsid w:val="00507312"/>
    <w:rsid w:val="00511B68"/>
    <w:rsid w:val="0051246B"/>
    <w:rsid w:val="00513C95"/>
    <w:rsid w:val="00513CA2"/>
    <w:rsid w:val="00532447"/>
    <w:rsid w:val="005347FD"/>
    <w:rsid w:val="00535C45"/>
    <w:rsid w:val="0054136E"/>
    <w:rsid w:val="005437C6"/>
    <w:rsid w:val="00544148"/>
    <w:rsid w:val="0054431E"/>
    <w:rsid w:val="005451C2"/>
    <w:rsid w:val="005466CF"/>
    <w:rsid w:val="0054794B"/>
    <w:rsid w:val="00553F2C"/>
    <w:rsid w:val="00556143"/>
    <w:rsid w:val="00561061"/>
    <w:rsid w:val="00562135"/>
    <w:rsid w:val="0056580B"/>
    <w:rsid w:val="00565D2D"/>
    <w:rsid w:val="00567AD8"/>
    <w:rsid w:val="00567D5D"/>
    <w:rsid w:val="005710B6"/>
    <w:rsid w:val="00573194"/>
    <w:rsid w:val="00573F02"/>
    <w:rsid w:val="00574A6F"/>
    <w:rsid w:val="00574DB3"/>
    <w:rsid w:val="00582E21"/>
    <w:rsid w:val="00590FCF"/>
    <w:rsid w:val="00596152"/>
    <w:rsid w:val="00597868"/>
    <w:rsid w:val="005A1258"/>
    <w:rsid w:val="005A1525"/>
    <w:rsid w:val="005A3B1D"/>
    <w:rsid w:val="005B7564"/>
    <w:rsid w:val="005C30B5"/>
    <w:rsid w:val="005C4C58"/>
    <w:rsid w:val="005C6DF0"/>
    <w:rsid w:val="005D28CD"/>
    <w:rsid w:val="005D4AF8"/>
    <w:rsid w:val="005E352F"/>
    <w:rsid w:val="005F0A7E"/>
    <w:rsid w:val="005F12B4"/>
    <w:rsid w:val="005F197F"/>
    <w:rsid w:val="005F2573"/>
    <w:rsid w:val="005F30E7"/>
    <w:rsid w:val="005F6296"/>
    <w:rsid w:val="005F69B9"/>
    <w:rsid w:val="00600342"/>
    <w:rsid w:val="006017D8"/>
    <w:rsid w:val="00605B36"/>
    <w:rsid w:val="00615CC9"/>
    <w:rsid w:val="006168C5"/>
    <w:rsid w:val="00620437"/>
    <w:rsid w:val="00621F79"/>
    <w:rsid w:val="00624460"/>
    <w:rsid w:val="006273C4"/>
    <w:rsid w:val="00636C25"/>
    <w:rsid w:val="00651EB0"/>
    <w:rsid w:val="00652731"/>
    <w:rsid w:val="006546B9"/>
    <w:rsid w:val="0066198A"/>
    <w:rsid w:val="00667ED1"/>
    <w:rsid w:val="00667F79"/>
    <w:rsid w:val="00671B93"/>
    <w:rsid w:val="00672A01"/>
    <w:rsid w:val="00673291"/>
    <w:rsid w:val="00676CC6"/>
    <w:rsid w:val="0068212E"/>
    <w:rsid w:val="00682395"/>
    <w:rsid w:val="00683FF4"/>
    <w:rsid w:val="00685925"/>
    <w:rsid w:val="00686F67"/>
    <w:rsid w:val="0069202B"/>
    <w:rsid w:val="006935C5"/>
    <w:rsid w:val="0069711E"/>
    <w:rsid w:val="006974CE"/>
    <w:rsid w:val="006A1987"/>
    <w:rsid w:val="006A198B"/>
    <w:rsid w:val="006A1F01"/>
    <w:rsid w:val="006A2E92"/>
    <w:rsid w:val="006A3EC5"/>
    <w:rsid w:val="006A7D6F"/>
    <w:rsid w:val="006B019B"/>
    <w:rsid w:val="006B073F"/>
    <w:rsid w:val="006B2B2C"/>
    <w:rsid w:val="006B46D4"/>
    <w:rsid w:val="006B75DE"/>
    <w:rsid w:val="006C75EE"/>
    <w:rsid w:val="006D2686"/>
    <w:rsid w:val="006D4DBF"/>
    <w:rsid w:val="006E0D11"/>
    <w:rsid w:val="006E5453"/>
    <w:rsid w:val="006E7DDF"/>
    <w:rsid w:val="006E7F1E"/>
    <w:rsid w:val="006F25DE"/>
    <w:rsid w:val="006F2CC7"/>
    <w:rsid w:val="006F3114"/>
    <w:rsid w:val="006F4D23"/>
    <w:rsid w:val="006F5E8F"/>
    <w:rsid w:val="006F7E9A"/>
    <w:rsid w:val="00700749"/>
    <w:rsid w:val="00700E68"/>
    <w:rsid w:val="00702C48"/>
    <w:rsid w:val="0070399A"/>
    <w:rsid w:val="00703F14"/>
    <w:rsid w:val="00707A33"/>
    <w:rsid w:val="00711279"/>
    <w:rsid w:val="00720BC8"/>
    <w:rsid w:val="00724573"/>
    <w:rsid w:val="00725964"/>
    <w:rsid w:val="007278FE"/>
    <w:rsid w:val="00736D90"/>
    <w:rsid w:val="00737169"/>
    <w:rsid w:val="007374E0"/>
    <w:rsid w:val="0074055E"/>
    <w:rsid w:val="00740BF9"/>
    <w:rsid w:val="00743269"/>
    <w:rsid w:val="007526D7"/>
    <w:rsid w:val="0075488E"/>
    <w:rsid w:val="007621FA"/>
    <w:rsid w:val="007664D5"/>
    <w:rsid w:val="0077136A"/>
    <w:rsid w:val="00771393"/>
    <w:rsid w:val="007719DD"/>
    <w:rsid w:val="00776D27"/>
    <w:rsid w:val="007809A0"/>
    <w:rsid w:val="00780F56"/>
    <w:rsid w:val="007843D8"/>
    <w:rsid w:val="007927E2"/>
    <w:rsid w:val="007933BE"/>
    <w:rsid w:val="007938EF"/>
    <w:rsid w:val="00795EB5"/>
    <w:rsid w:val="00796CC5"/>
    <w:rsid w:val="007A0A07"/>
    <w:rsid w:val="007A6BD9"/>
    <w:rsid w:val="007B484B"/>
    <w:rsid w:val="007B625A"/>
    <w:rsid w:val="007D0B1D"/>
    <w:rsid w:val="007E4ACA"/>
    <w:rsid w:val="007E5E79"/>
    <w:rsid w:val="007E65EE"/>
    <w:rsid w:val="007F018D"/>
    <w:rsid w:val="007F201C"/>
    <w:rsid w:val="007F327F"/>
    <w:rsid w:val="00800525"/>
    <w:rsid w:val="00802149"/>
    <w:rsid w:val="0080341B"/>
    <w:rsid w:val="00805108"/>
    <w:rsid w:val="00811BB6"/>
    <w:rsid w:val="00816B76"/>
    <w:rsid w:val="00820FD5"/>
    <w:rsid w:val="008222BC"/>
    <w:rsid w:val="00822559"/>
    <w:rsid w:val="00824AA9"/>
    <w:rsid w:val="008261E9"/>
    <w:rsid w:val="008274AC"/>
    <w:rsid w:val="00827568"/>
    <w:rsid w:val="00831263"/>
    <w:rsid w:val="0083279C"/>
    <w:rsid w:val="008332EE"/>
    <w:rsid w:val="00833F26"/>
    <w:rsid w:val="008425C3"/>
    <w:rsid w:val="00846EBF"/>
    <w:rsid w:val="00851E47"/>
    <w:rsid w:val="00852C3F"/>
    <w:rsid w:val="00853815"/>
    <w:rsid w:val="00853F48"/>
    <w:rsid w:val="00855C68"/>
    <w:rsid w:val="00857296"/>
    <w:rsid w:val="008637FA"/>
    <w:rsid w:val="008663DC"/>
    <w:rsid w:val="00881808"/>
    <w:rsid w:val="008846D2"/>
    <w:rsid w:val="0088629B"/>
    <w:rsid w:val="008874EA"/>
    <w:rsid w:val="00892416"/>
    <w:rsid w:val="008944CB"/>
    <w:rsid w:val="0089552B"/>
    <w:rsid w:val="008A1821"/>
    <w:rsid w:val="008A1BA6"/>
    <w:rsid w:val="008A3C2F"/>
    <w:rsid w:val="008A7C0F"/>
    <w:rsid w:val="008B0F14"/>
    <w:rsid w:val="008B0FA5"/>
    <w:rsid w:val="008B1C7D"/>
    <w:rsid w:val="008B339D"/>
    <w:rsid w:val="008B61CC"/>
    <w:rsid w:val="008B66AE"/>
    <w:rsid w:val="008C608A"/>
    <w:rsid w:val="008D004E"/>
    <w:rsid w:val="008D3EF1"/>
    <w:rsid w:val="008D6FD8"/>
    <w:rsid w:val="008E091A"/>
    <w:rsid w:val="008E2B24"/>
    <w:rsid w:val="008E5246"/>
    <w:rsid w:val="008E632B"/>
    <w:rsid w:val="008E6397"/>
    <w:rsid w:val="008E675D"/>
    <w:rsid w:val="008F0884"/>
    <w:rsid w:val="008F7620"/>
    <w:rsid w:val="008F7D11"/>
    <w:rsid w:val="00901506"/>
    <w:rsid w:val="009027B5"/>
    <w:rsid w:val="00904131"/>
    <w:rsid w:val="00906AB4"/>
    <w:rsid w:val="00910B59"/>
    <w:rsid w:val="00916372"/>
    <w:rsid w:val="009167E9"/>
    <w:rsid w:val="0091720C"/>
    <w:rsid w:val="00921CD0"/>
    <w:rsid w:val="00930AAA"/>
    <w:rsid w:val="00937480"/>
    <w:rsid w:val="00937D3D"/>
    <w:rsid w:val="00940687"/>
    <w:rsid w:val="00946A63"/>
    <w:rsid w:val="00946A94"/>
    <w:rsid w:val="00947F40"/>
    <w:rsid w:val="009512F7"/>
    <w:rsid w:val="00955872"/>
    <w:rsid w:val="00957F0F"/>
    <w:rsid w:val="009640B6"/>
    <w:rsid w:val="009650EF"/>
    <w:rsid w:val="009662F9"/>
    <w:rsid w:val="00966D0C"/>
    <w:rsid w:val="00973E38"/>
    <w:rsid w:val="00985707"/>
    <w:rsid w:val="00993EAD"/>
    <w:rsid w:val="009A112A"/>
    <w:rsid w:val="009A5227"/>
    <w:rsid w:val="009A6158"/>
    <w:rsid w:val="009B5736"/>
    <w:rsid w:val="009C1B20"/>
    <w:rsid w:val="009C72FC"/>
    <w:rsid w:val="009D051F"/>
    <w:rsid w:val="009D12D8"/>
    <w:rsid w:val="009D6045"/>
    <w:rsid w:val="009E0E55"/>
    <w:rsid w:val="009E2B95"/>
    <w:rsid w:val="009E2DB5"/>
    <w:rsid w:val="009E3483"/>
    <w:rsid w:val="009E3550"/>
    <w:rsid w:val="009E4FC1"/>
    <w:rsid w:val="009F1072"/>
    <w:rsid w:val="009F6041"/>
    <w:rsid w:val="009F6156"/>
    <w:rsid w:val="009F68C6"/>
    <w:rsid w:val="00A00671"/>
    <w:rsid w:val="00A02607"/>
    <w:rsid w:val="00A04D1B"/>
    <w:rsid w:val="00A06AEB"/>
    <w:rsid w:val="00A13697"/>
    <w:rsid w:val="00A21FC8"/>
    <w:rsid w:val="00A30444"/>
    <w:rsid w:val="00A33468"/>
    <w:rsid w:val="00A4084D"/>
    <w:rsid w:val="00A41BEA"/>
    <w:rsid w:val="00A42773"/>
    <w:rsid w:val="00A43E2B"/>
    <w:rsid w:val="00A5698B"/>
    <w:rsid w:val="00A56D25"/>
    <w:rsid w:val="00A606FA"/>
    <w:rsid w:val="00A660A1"/>
    <w:rsid w:val="00A71DE6"/>
    <w:rsid w:val="00A751EF"/>
    <w:rsid w:val="00A75E50"/>
    <w:rsid w:val="00A76EE2"/>
    <w:rsid w:val="00A803AF"/>
    <w:rsid w:val="00A832AF"/>
    <w:rsid w:val="00A85BE1"/>
    <w:rsid w:val="00A91B39"/>
    <w:rsid w:val="00A9437E"/>
    <w:rsid w:val="00A96B18"/>
    <w:rsid w:val="00A9744E"/>
    <w:rsid w:val="00AA441E"/>
    <w:rsid w:val="00AA633C"/>
    <w:rsid w:val="00AB0C34"/>
    <w:rsid w:val="00AB1679"/>
    <w:rsid w:val="00AB1FC7"/>
    <w:rsid w:val="00AB249D"/>
    <w:rsid w:val="00AB2999"/>
    <w:rsid w:val="00AB4C3E"/>
    <w:rsid w:val="00AB6859"/>
    <w:rsid w:val="00AC0897"/>
    <w:rsid w:val="00AC39BF"/>
    <w:rsid w:val="00AC5657"/>
    <w:rsid w:val="00AC5C2F"/>
    <w:rsid w:val="00AD1E6A"/>
    <w:rsid w:val="00AD70B8"/>
    <w:rsid w:val="00AE0789"/>
    <w:rsid w:val="00AE1A7A"/>
    <w:rsid w:val="00AE3BD1"/>
    <w:rsid w:val="00AF2C05"/>
    <w:rsid w:val="00AF4DD2"/>
    <w:rsid w:val="00AF4E63"/>
    <w:rsid w:val="00AF6CE5"/>
    <w:rsid w:val="00B018C0"/>
    <w:rsid w:val="00B0375D"/>
    <w:rsid w:val="00B21928"/>
    <w:rsid w:val="00B24866"/>
    <w:rsid w:val="00B2717A"/>
    <w:rsid w:val="00B33F14"/>
    <w:rsid w:val="00B3560F"/>
    <w:rsid w:val="00B37AB3"/>
    <w:rsid w:val="00B4041D"/>
    <w:rsid w:val="00B4384F"/>
    <w:rsid w:val="00B45987"/>
    <w:rsid w:val="00B4610B"/>
    <w:rsid w:val="00B46968"/>
    <w:rsid w:val="00B50672"/>
    <w:rsid w:val="00B52B06"/>
    <w:rsid w:val="00B556FC"/>
    <w:rsid w:val="00B57BA2"/>
    <w:rsid w:val="00B57F51"/>
    <w:rsid w:val="00B60E76"/>
    <w:rsid w:val="00B6371C"/>
    <w:rsid w:val="00B7027C"/>
    <w:rsid w:val="00B73FF8"/>
    <w:rsid w:val="00B743DD"/>
    <w:rsid w:val="00B74AB6"/>
    <w:rsid w:val="00B80090"/>
    <w:rsid w:val="00B8361C"/>
    <w:rsid w:val="00B90CFC"/>
    <w:rsid w:val="00B9410B"/>
    <w:rsid w:val="00B949E2"/>
    <w:rsid w:val="00BA0108"/>
    <w:rsid w:val="00BA093C"/>
    <w:rsid w:val="00BA0CC9"/>
    <w:rsid w:val="00BA12FF"/>
    <w:rsid w:val="00BA1A15"/>
    <w:rsid w:val="00BA25DE"/>
    <w:rsid w:val="00BA3FAE"/>
    <w:rsid w:val="00BA5E59"/>
    <w:rsid w:val="00BA7E27"/>
    <w:rsid w:val="00BB3380"/>
    <w:rsid w:val="00BB6704"/>
    <w:rsid w:val="00BC789F"/>
    <w:rsid w:val="00BE07D5"/>
    <w:rsid w:val="00BE094E"/>
    <w:rsid w:val="00BE66F9"/>
    <w:rsid w:val="00BF27EC"/>
    <w:rsid w:val="00C00333"/>
    <w:rsid w:val="00C04593"/>
    <w:rsid w:val="00C04F92"/>
    <w:rsid w:val="00C22688"/>
    <w:rsid w:val="00C25764"/>
    <w:rsid w:val="00C26983"/>
    <w:rsid w:val="00C37310"/>
    <w:rsid w:val="00C3775F"/>
    <w:rsid w:val="00C40738"/>
    <w:rsid w:val="00C4172B"/>
    <w:rsid w:val="00C44DC7"/>
    <w:rsid w:val="00C45C6C"/>
    <w:rsid w:val="00C5022F"/>
    <w:rsid w:val="00C5186C"/>
    <w:rsid w:val="00C51CDF"/>
    <w:rsid w:val="00C51E9C"/>
    <w:rsid w:val="00C53FEA"/>
    <w:rsid w:val="00C54DA3"/>
    <w:rsid w:val="00C54F1A"/>
    <w:rsid w:val="00C56FB3"/>
    <w:rsid w:val="00C64D38"/>
    <w:rsid w:val="00C66BBA"/>
    <w:rsid w:val="00C8646F"/>
    <w:rsid w:val="00C91004"/>
    <w:rsid w:val="00C95D06"/>
    <w:rsid w:val="00C96BB8"/>
    <w:rsid w:val="00CB182B"/>
    <w:rsid w:val="00CB2ED7"/>
    <w:rsid w:val="00CB5913"/>
    <w:rsid w:val="00CB5BDD"/>
    <w:rsid w:val="00CD3F71"/>
    <w:rsid w:val="00CD4EF0"/>
    <w:rsid w:val="00CE18A3"/>
    <w:rsid w:val="00CE2095"/>
    <w:rsid w:val="00CF1C4C"/>
    <w:rsid w:val="00CF48F2"/>
    <w:rsid w:val="00D022D1"/>
    <w:rsid w:val="00D03A50"/>
    <w:rsid w:val="00D05375"/>
    <w:rsid w:val="00D05779"/>
    <w:rsid w:val="00D06942"/>
    <w:rsid w:val="00D100EC"/>
    <w:rsid w:val="00D103E4"/>
    <w:rsid w:val="00D119C3"/>
    <w:rsid w:val="00D148D9"/>
    <w:rsid w:val="00D205CE"/>
    <w:rsid w:val="00D225AA"/>
    <w:rsid w:val="00D26A57"/>
    <w:rsid w:val="00D32A57"/>
    <w:rsid w:val="00D37269"/>
    <w:rsid w:val="00D37490"/>
    <w:rsid w:val="00D4032A"/>
    <w:rsid w:val="00D41B48"/>
    <w:rsid w:val="00D47A72"/>
    <w:rsid w:val="00D501A8"/>
    <w:rsid w:val="00D50E2B"/>
    <w:rsid w:val="00D5269B"/>
    <w:rsid w:val="00D552D8"/>
    <w:rsid w:val="00D758FF"/>
    <w:rsid w:val="00D80428"/>
    <w:rsid w:val="00D80E23"/>
    <w:rsid w:val="00D872EF"/>
    <w:rsid w:val="00D94AC8"/>
    <w:rsid w:val="00D9763E"/>
    <w:rsid w:val="00DA1DDF"/>
    <w:rsid w:val="00DA633C"/>
    <w:rsid w:val="00DA6963"/>
    <w:rsid w:val="00DA7A47"/>
    <w:rsid w:val="00DB7B01"/>
    <w:rsid w:val="00DC1E3E"/>
    <w:rsid w:val="00DC1ED2"/>
    <w:rsid w:val="00DC213F"/>
    <w:rsid w:val="00DC25E7"/>
    <w:rsid w:val="00DC4075"/>
    <w:rsid w:val="00DC6068"/>
    <w:rsid w:val="00DD20C4"/>
    <w:rsid w:val="00DD32F5"/>
    <w:rsid w:val="00DD34B8"/>
    <w:rsid w:val="00DE5A5B"/>
    <w:rsid w:val="00DE69D7"/>
    <w:rsid w:val="00DF0C2C"/>
    <w:rsid w:val="00DF1C79"/>
    <w:rsid w:val="00DF278D"/>
    <w:rsid w:val="00E01A29"/>
    <w:rsid w:val="00E0713E"/>
    <w:rsid w:val="00E10086"/>
    <w:rsid w:val="00E101BF"/>
    <w:rsid w:val="00E12BE1"/>
    <w:rsid w:val="00E13C86"/>
    <w:rsid w:val="00E14D44"/>
    <w:rsid w:val="00E212AD"/>
    <w:rsid w:val="00E2669B"/>
    <w:rsid w:val="00E312ED"/>
    <w:rsid w:val="00E32B0E"/>
    <w:rsid w:val="00E32F79"/>
    <w:rsid w:val="00E44A21"/>
    <w:rsid w:val="00E53F2A"/>
    <w:rsid w:val="00E60A23"/>
    <w:rsid w:val="00E6474D"/>
    <w:rsid w:val="00E6489D"/>
    <w:rsid w:val="00E70C55"/>
    <w:rsid w:val="00E72053"/>
    <w:rsid w:val="00E72A24"/>
    <w:rsid w:val="00E75A74"/>
    <w:rsid w:val="00E7754F"/>
    <w:rsid w:val="00E778BC"/>
    <w:rsid w:val="00E843F3"/>
    <w:rsid w:val="00E8503A"/>
    <w:rsid w:val="00E85F42"/>
    <w:rsid w:val="00E87BD1"/>
    <w:rsid w:val="00E906FE"/>
    <w:rsid w:val="00E90E79"/>
    <w:rsid w:val="00E96CD5"/>
    <w:rsid w:val="00EA1A2D"/>
    <w:rsid w:val="00EA3A0C"/>
    <w:rsid w:val="00EA465E"/>
    <w:rsid w:val="00EB4D78"/>
    <w:rsid w:val="00EB54D1"/>
    <w:rsid w:val="00EB59BD"/>
    <w:rsid w:val="00EB76CE"/>
    <w:rsid w:val="00EC171E"/>
    <w:rsid w:val="00EC60EE"/>
    <w:rsid w:val="00ED105F"/>
    <w:rsid w:val="00ED2658"/>
    <w:rsid w:val="00ED3BCF"/>
    <w:rsid w:val="00EE01B3"/>
    <w:rsid w:val="00EE4202"/>
    <w:rsid w:val="00EE49DC"/>
    <w:rsid w:val="00EE50EC"/>
    <w:rsid w:val="00EF0DD1"/>
    <w:rsid w:val="00EF6185"/>
    <w:rsid w:val="00EF7060"/>
    <w:rsid w:val="00F002AF"/>
    <w:rsid w:val="00F00565"/>
    <w:rsid w:val="00F018DC"/>
    <w:rsid w:val="00F019F5"/>
    <w:rsid w:val="00F06082"/>
    <w:rsid w:val="00F1222D"/>
    <w:rsid w:val="00F12F21"/>
    <w:rsid w:val="00F1360D"/>
    <w:rsid w:val="00F14E7E"/>
    <w:rsid w:val="00F20DE8"/>
    <w:rsid w:val="00F232BD"/>
    <w:rsid w:val="00F25F58"/>
    <w:rsid w:val="00F2706F"/>
    <w:rsid w:val="00F30286"/>
    <w:rsid w:val="00F310B2"/>
    <w:rsid w:val="00F3135A"/>
    <w:rsid w:val="00F33D82"/>
    <w:rsid w:val="00F346D5"/>
    <w:rsid w:val="00F37273"/>
    <w:rsid w:val="00F40589"/>
    <w:rsid w:val="00F43F58"/>
    <w:rsid w:val="00F44B60"/>
    <w:rsid w:val="00F45959"/>
    <w:rsid w:val="00F45AB8"/>
    <w:rsid w:val="00F47F80"/>
    <w:rsid w:val="00F521C3"/>
    <w:rsid w:val="00F55DD5"/>
    <w:rsid w:val="00F56DAF"/>
    <w:rsid w:val="00F67F87"/>
    <w:rsid w:val="00F71E7C"/>
    <w:rsid w:val="00F733F2"/>
    <w:rsid w:val="00F73B71"/>
    <w:rsid w:val="00F74EA6"/>
    <w:rsid w:val="00F869CE"/>
    <w:rsid w:val="00FA02E1"/>
    <w:rsid w:val="00FA2B19"/>
    <w:rsid w:val="00FA34B4"/>
    <w:rsid w:val="00FA420D"/>
    <w:rsid w:val="00FA5E54"/>
    <w:rsid w:val="00FC0D74"/>
    <w:rsid w:val="00FD1737"/>
    <w:rsid w:val="00FD52A1"/>
    <w:rsid w:val="00FD60E6"/>
    <w:rsid w:val="00FE0023"/>
    <w:rsid w:val="00FE026C"/>
    <w:rsid w:val="00FF4DED"/>
    <w:rsid w:val="00FF544E"/>
    <w:rsid w:val="00FF5A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99"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234"/>
    <w:rPr>
      <w:snapToGrid w:val="0"/>
      <w:lang w:val="es-ES_tradnl" w:eastAsia="es-ES"/>
    </w:rPr>
  </w:style>
  <w:style w:type="paragraph" w:styleId="Ttulo1">
    <w:name w:val="heading 1"/>
    <w:basedOn w:val="Normal"/>
    <w:next w:val="Normal"/>
    <w:link w:val="Ttulo1Car"/>
    <w:qFormat/>
    <w:rsid w:val="00DC213F"/>
    <w:pPr>
      <w:keepNext/>
      <w:tabs>
        <w:tab w:val="left" w:pos="-720"/>
        <w:tab w:val="left" w:pos="0"/>
        <w:tab w:val="left" w:pos="720"/>
      </w:tabs>
      <w:suppressAutoHyphens/>
      <w:spacing w:before="120"/>
      <w:ind w:left="1440" w:hanging="22"/>
      <w:jc w:val="both"/>
      <w:outlineLvl w:val="0"/>
    </w:pPr>
    <w:rPr>
      <w:rFonts w:ascii="Arial" w:hAnsi="Arial"/>
      <w:b/>
      <w:spacing w:val="3"/>
      <w:sz w:val="16"/>
    </w:rPr>
  </w:style>
  <w:style w:type="paragraph" w:styleId="Ttulo2">
    <w:name w:val="heading 2"/>
    <w:basedOn w:val="Normal"/>
    <w:next w:val="Normal"/>
    <w:link w:val="Ttulo2Car"/>
    <w:qFormat/>
    <w:rsid w:val="00DC213F"/>
    <w:pPr>
      <w:keepNext/>
      <w:tabs>
        <w:tab w:val="left" w:pos="-720"/>
      </w:tabs>
      <w:suppressAutoHyphens/>
      <w:spacing w:before="120"/>
      <w:ind w:left="1418"/>
      <w:jc w:val="both"/>
      <w:outlineLvl w:val="1"/>
    </w:pPr>
    <w:rPr>
      <w:rFonts w:ascii="Arial" w:hAnsi="Arial"/>
      <w:b/>
      <w:spacing w:val="3"/>
      <w:sz w:val="16"/>
    </w:rPr>
  </w:style>
  <w:style w:type="paragraph" w:styleId="Ttulo3">
    <w:name w:val="heading 3"/>
    <w:basedOn w:val="Normal"/>
    <w:next w:val="Normal"/>
    <w:link w:val="Ttulo3Car"/>
    <w:qFormat/>
    <w:rsid w:val="00DC213F"/>
    <w:pPr>
      <w:keepNext/>
      <w:tabs>
        <w:tab w:val="left" w:pos="-720"/>
        <w:tab w:val="left" w:pos="0"/>
        <w:tab w:val="left" w:pos="720"/>
      </w:tabs>
      <w:suppressAutoHyphens/>
      <w:spacing w:before="120"/>
      <w:jc w:val="both"/>
      <w:outlineLvl w:val="2"/>
    </w:pPr>
    <w:rPr>
      <w:rFonts w:ascii="Arial" w:hAnsi="Arial"/>
      <w:b/>
      <w:spacing w:val="3"/>
      <w:sz w:val="16"/>
      <w:lang w:val="es-CO"/>
    </w:rPr>
  </w:style>
  <w:style w:type="paragraph" w:styleId="Ttulo4">
    <w:name w:val="heading 4"/>
    <w:basedOn w:val="Normal"/>
    <w:next w:val="Normal"/>
    <w:link w:val="Ttulo4Car"/>
    <w:qFormat/>
    <w:rsid w:val="00DC213F"/>
    <w:pPr>
      <w:keepNext/>
      <w:spacing w:before="120"/>
      <w:ind w:left="1440"/>
      <w:jc w:val="both"/>
      <w:outlineLvl w:val="3"/>
    </w:pPr>
    <w:rPr>
      <w:rFonts w:ascii="Arial" w:hAnsi="Arial"/>
      <w:b/>
      <w:spacing w:val="3"/>
      <w:sz w:val="16"/>
    </w:rPr>
  </w:style>
  <w:style w:type="paragraph" w:styleId="Ttulo5">
    <w:name w:val="heading 5"/>
    <w:basedOn w:val="Normal"/>
    <w:next w:val="Normal"/>
    <w:link w:val="Ttulo5Car"/>
    <w:qFormat/>
    <w:rsid w:val="00DC213F"/>
    <w:pPr>
      <w:keepNext/>
      <w:tabs>
        <w:tab w:val="left" w:pos="-720"/>
        <w:tab w:val="left" w:pos="0"/>
        <w:tab w:val="left" w:pos="720"/>
      </w:tabs>
      <w:suppressAutoHyphens/>
      <w:spacing w:before="120"/>
      <w:ind w:firstLine="1418"/>
      <w:jc w:val="both"/>
      <w:outlineLvl w:val="4"/>
    </w:pPr>
    <w:rPr>
      <w:rFonts w:ascii="Arial" w:hAnsi="Arial"/>
      <w:b/>
      <w:spacing w:val="3"/>
      <w:sz w:val="1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22BC"/>
    <w:rPr>
      <w:rFonts w:ascii="Arial" w:hAnsi="Arial"/>
      <w:b/>
      <w:snapToGrid w:val="0"/>
      <w:spacing w:val="3"/>
      <w:sz w:val="16"/>
      <w:lang w:val="es-ES_tradnl" w:eastAsia="es-ES"/>
    </w:rPr>
  </w:style>
  <w:style w:type="character" w:customStyle="1" w:styleId="Ttulo2Car">
    <w:name w:val="Título 2 Car"/>
    <w:basedOn w:val="Fuentedeprrafopredeter"/>
    <w:link w:val="Ttulo2"/>
    <w:rsid w:val="008222BC"/>
    <w:rPr>
      <w:rFonts w:ascii="Arial" w:hAnsi="Arial"/>
      <w:b/>
      <w:snapToGrid w:val="0"/>
      <w:spacing w:val="3"/>
      <w:sz w:val="16"/>
      <w:lang w:val="es-ES_tradnl" w:eastAsia="es-ES"/>
    </w:rPr>
  </w:style>
  <w:style w:type="character" w:customStyle="1" w:styleId="Ttulo3Car">
    <w:name w:val="Título 3 Car"/>
    <w:basedOn w:val="Fuentedeprrafopredeter"/>
    <w:link w:val="Ttulo3"/>
    <w:rsid w:val="008222BC"/>
    <w:rPr>
      <w:rFonts w:ascii="Arial" w:hAnsi="Arial"/>
      <w:b/>
      <w:snapToGrid w:val="0"/>
      <w:spacing w:val="3"/>
      <w:sz w:val="16"/>
      <w:lang w:eastAsia="es-ES"/>
    </w:rPr>
  </w:style>
  <w:style w:type="character" w:customStyle="1" w:styleId="Ttulo4Car">
    <w:name w:val="Título 4 Car"/>
    <w:basedOn w:val="Fuentedeprrafopredeter"/>
    <w:link w:val="Ttulo4"/>
    <w:rsid w:val="008222BC"/>
    <w:rPr>
      <w:rFonts w:ascii="Arial" w:hAnsi="Arial"/>
      <w:b/>
      <w:snapToGrid w:val="0"/>
      <w:spacing w:val="3"/>
      <w:sz w:val="16"/>
      <w:lang w:val="es-ES_tradnl" w:eastAsia="es-ES"/>
    </w:rPr>
  </w:style>
  <w:style w:type="character" w:customStyle="1" w:styleId="Ttulo5Car">
    <w:name w:val="Título 5 Car"/>
    <w:basedOn w:val="Fuentedeprrafopredeter"/>
    <w:link w:val="Ttulo5"/>
    <w:rsid w:val="008222BC"/>
    <w:rPr>
      <w:rFonts w:ascii="Arial" w:hAnsi="Arial"/>
      <w:b/>
      <w:snapToGrid w:val="0"/>
      <w:spacing w:val="3"/>
      <w:sz w:val="16"/>
      <w:lang w:eastAsia="es-ES"/>
    </w:rPr>
  </w:style>
  <w:style w:type="paragraph" w:styleId="Encabezado">
    <w:name w:val="header"/>
    <w:basedOn w:val="Normal"/>
    <w:link w:val="EncabezadoCar"/>
    <w:rsid w:val="00DC213F"/>
    <w:pPr>
      <w:tabs>
        <w:tab w:val="center" w:pos="4252"/>
        <w:tab w:val="right" w:pos="8504"/>
      </w:tabs>
    </w:pPr>
  </w:style>
  <w:style w:type="character" w:customStyle="1" w:styleId="EncabezadoCar">
    <w:name w:val="Encabezado Car"/>
    <w:basedOn w:val="Fuentedeprrafopredeter"/>
    <w:link w:val="Encabezado"/>
    <w:rsid w:val="008222BC"/>
    <w:rPr>
      <w:snapToGrid w:val="0"/>
      <w:lang w:val="es-ES_tradnl" w:eastAsia="es-ES"/>
    </w:rPr>
  </w:style>
  <w:style w:type="paragraph" w:styleId="Piedepgina">
    <w:name w:val="footer"/>
    <w:basedOn w:val="Normal"/>
    <w:link w:val="PiedepginaCar"/>
    <w:rsid w:val="00DC213F"/>
    <w:pPr>
      <w:tabs>
        <w:tab w:val="center" w:pos="4252"/>
        <w:tab w:val="right" w:pos="8504"/>
      </w:tabs>
    </w:pPr>
  </w:style>
  <w:style w:type="character" w:customStyle="1" w:styleId="PiedepginaCar">
    <w:name w:val="Pie de página Car"/>
    <w:basedOn w:val="Fuentedeprrafopredeter"/>
    <w:link w:val="Piedepgina"/>
    <w:rsid w:val="008222BC"/>
    <w:rPr>
      <w:snapToGrid w:val="0"/>
      <w:lang w:val="es-ES_tradnl" w:eastAsia="es-ES"/>
    </w:rPr>
  </w:style>
  <w:style w:type="character" w:styleId="Nmerodepgina">
    <w:name w:val="page number"/>
    <w:basedOn w:val="Fuentedeprrafopredeter"/>
    <w:rsid w:val="00DC213F"/>
  </w:style>
  <w:style w:type="character" w:customStyle="1" w:styleId="Fuentedeencabezadopredeter">
    <w:name w:val="Fuente de encabezado predeter."/>
    <w:rsid w:val="00DC213F"/>
  </w:style>
  <w:style w:type="character" w:customStyle="1" w:styleId="Documento4">
    <w:name w:val="Documento 4"/>
    <w:basedOn w:val="Fuentedeencabezadopredeter"/>
    <w:rsid w:val="00DC213F"/>
    <w:rPr>
      <w:b/>
      <w:i/>
      <w:sz w:val="24"/>
    </w:rPr>
  </w:style>
  <w:style w:type="character" w:customStyle="1" w:styleId="Bibliogr">
    <w:name w:val="Bibliogr."/>
    <w:basedOn w:val="Fuentedeencabezadopredeter"/>
    <w:rsid w:val="00DC213F"/>
  </w:style>
  <w:style w:type="character" w:customStyle="1" w:styleId="Documento5">
    <w:name w:val="Documento 5"/>
    <w:basedOn w:val="Fuentedeencabezadopredeter"/>
    <w:rsid w:val="00DC213F"/>
  </w:style>
  <w:style w:type="character" w:customStyle="1" w:styleId="Documento2">
    <w:name w:val="Documento 2"/>
    <w:basedOn w:val="Fuentedeencabezadopredeter"/>
    <w:rsid w:val="00DC213F"/>
    <w:rPr>
      <w:rFonts w:ascii="Courier" w:hAnsi="Courier"/>
      <w:noProof w:val="0"/>
      <w:sz w:val="24"/>
      <w:lang w:val="en-US"/>
    </w:rPr>
  </w:style>
  <w:style w:type="character" w:customStyle="1" w:styleId="Documento6">
    <w:name w:val="Documento 6"/>
    <w:basedOn w:val="Fuentedeencabezadopredeter"/>
    <w:rsid w:val="00DC213F"/>
  </w:style>
  <w:style w:type="character" w:customStyle="1" w:styleId="Documento7">
    <w:name w:val="Documento 7"/>
    <w:basedOn w:val="Fuentedeencabezadopredeter"/>
    <w:rsid w:val="00DC213F"/>
  </w:style>
  <w:style w:type="character" w:customStyle="1" w:styleId="Documento8">
    <w:name w:val="Documento 8"/>
    <w:basedOn w:val="Fuentedeencabezadopredeter"/>
    <w:rsid w:val="00DC213F"/>
  </w:style>
  <w:style w:type="character" w:customStyle="1" w:styleId="Documento3">
    <w:name w:val="Documento 3"/>
    <w:basedOn w:val="Fuentedeencabezadopredeter"/>
    <w:rsid w:val="00DC213F"/>
    <w:rPr>
      <w:rFonts w:ascii="Courier" w:hAnsi="Courier"/>
      <w:noProof w:val="0"/>
      <w:sz w:val="24"/>
      <w:lang w:val="en-US"/>
    </w:rPr>
  </w:style>
  <w:style w:type="paragraph" w:customStyle="1" w:styleId="Prder1">
    <w:name w:val="PÀÀr. der. 1"/>
    <w:rsid w:val="00DC213F"/>
    <w:pPr>
      <w:tabs>
        <w:tab w:val="left" w:pos="-720"/>
        <w:tab w:val="left" w:pos="0"/>
        <w:tab w:val="decimal" w:pos="720"/>
      </w:tabs>
      <w:suppressAutoHyphens/>
      <w:ind w:left="720" w:hanging="208"/>
    </w:pPr>
    <w:rPr>
      <w:rFonts w:ascii="Courier" w:hAnsi="Courier"/>
      <w:snapToGrid w:val="0"/>
      <w:sz w:val="24"/>
      <w:lang w:val="en-US" w:eastAsia="es-ES"/>
    </w:rPr>
  </w:style>
  <w:style w:type="paragraph" w:customStyle="1" w:styleId="Prder2">
    <w:name w:val="PÀÀr. der. 2"/>
    <w:rsid w:val="00DC213F"/>
    <w:pPr>
      <w:tabs>
        <w:tab w:val="left" w:pos="-720"/>
        <w:tab w:val="left" w:pos="0"/>
        <w:tab w:val="left" w:pos="720"/>
        <w:tab w:val="decimal" w:pos="1440"/>
      </w:tabs>
      <w:suppressAutoHyphens/>
      <w:ind w:left="1440" w:hanging="294"/>
    </w:pPr>
    <w:rPr>
      <w:rFonts w:ascii="Courier" w:hAnsi="Courier"/>
      <w:snapToGrid w:val="0"/>
      <w:sz w:val="24"/>
      <w:lang w:val="en-US" w:eastAsia="es-ES"/>
    </w:rPr>
  </w:style>
  <w:style w:type="paragraph" w:customStyle="1" w:styleId="Prder3">
    <w:name w:val="PÀÀr. der. 3"/>
    <w:rsid w:val="00DC213F"/>
    <w:pPr>
      <w:tabs>
        <w:tab w:val="left" w:pos="-720"/>
        <w:tab w:val="left" w:pos="0"/>
        <w:tab w:val="left" w:pos="720"/>
        <w:tab w:val="left" w:pos="1440"/>
        <w:tab w:val="decimal" w:pos="2160"/>
      </w:tabs>
      <w:suppressAutoHyphens/>
      <w:ind w:left="2160" w:hanging="236"/>
    </w:pPr>
    <w:rPr>
      <w:rFonts w:ascii="Courier" w:hAnsi="Courier"/>
      <w:snapToGrid w:val="0"/>
      <w:sz w:val="24"/>
      <w:lang w:val="en-US" w:eastAsia="es-ES"/>
    </w:rPr>
  </w:style>
  <w:style w:type="paragraph" w:customStyle="1" w:styleId="Prder4">
    <w:name w:val="PÀÀr. der. 4"/>
    <w:rsid w:val="00DC213F"/>
    <w:pPr>
      <w:tabs>
        <w:tab w:val="left" w:pos="-720"/>
        <w:tab w:val="left" w:pos="0"/>
        <w:tab w:val="left" w:pos="720"/>
        <w:tab w:val="left" w:pos="1440"/>
        <w:tab w:val="left" w:pos="2160"/>
        <w:tab w:val="decimal" w:pos="2880"/>
      </w:tabs>
      <w:suppressAutoHyphens/>
      <w:ind w:left="2880" w:hanging="236"/>
    </w:pPr>
    <w:rPr>
      <w:rFonts w:ascii="Courier" w:hAnsi="Courier"/>
      <w:snapToGrid w:val="0"/>
      <w:sz w:val="24"/>
      <w:lang w:val="en-US" w:eastAsia="es-ES"/>
    </w:rPr>
  </w:style>
  <w:style w:type="paragraph" w:customStyle="1" w:styleId="Documento1">
    <w:name w:val="Documento 1"/>
    <w:rsid w:val="00DC213F"/>
    <w:pPr>
      <w:keepNext/>
      <w:keepLines/>
      <w:tabs>
        <w:tab w:val="left" w:pos="-720"/>
      </w:tabs>
      <w:suppressAutoHyphens/>
    </w:pPr>
    <w:rPr>
      <w:rFonts w:ascii="Courier" w:hAnsi="Courier"/>
      <w:snapToGrid w:val="0"/>
      <w:sz w:val="24"/>
      <w:lang w:val="en-US" w:eastAsia="es-ES"/>
    </w:rPr>
  </w:style>
  <w:style w:type="paragraph" w:customStyle="1" w:styleId="Prder5">
    <w:name w:val="PÀÀr. der. 5"/>
    <w:rsid w:val="00DC213F"/>
    <w:pPr>
      <w:tabs>
        <w:tab w:val="left" w:pos="-720"/>
        <w:tab w:val="left" w:pos="0"/>
        <w:tab w:val="left" w:pos="720"/>
        <w:tab w:val="left" w:pos="1440"/>
        <w:tab w:val="left" w:pos="2160"/>
        <w:tab w:val="left" w:pos="2880"/>
        <w:tab w:val="decimal" w:pos="3600"/>
      </w:tabs>
      <w:suppressAutoHyphens/>
      <w:ind w:left="3600" w:hanging="356"/>
    </w:pPr>
    <w:rPr>
      <w:rFonts w:ascii="Courier" w:hAnsi="Courier"/>
      <w:snapToGrid w:val="0"/>
      <w:sz w:val="24"/>
      <w:lang w:val="en-US" w:eastAsia="es-ES"/>
    </w:rPr>
  </w:style>
  <w:style w:type="paragraph" w:customStyle="1" w:styleId="Prder6">
    <w:name w:val="PÀÀr. der. 6"/>
    <w:rsid w:val="00DC213F"/>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napToGrid w:val="0"/>
      <w:sz w:val="24"/>
      <w:lang w:val="en-US" w:eastAsia="es-ES"/>
    </w:rPr>
  </w:style>
  <w:style w:type="paragraph" w:customStyle="1" w:styleId="Prder7">
    <w:name w:val="PÀÀr. der. 7"/>
    <w:rsid w:val="00DC213F"/>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napToGrid w:val="0"/>
      <w:sz w:val="24"/>
      <w:lang w:val="en-US" w:eastAsia="es-ES"/>
    </w:rPr>
  </w:style>
  <w:style w:type="paragraph" w:customStyle="1" w:styleId="Prder8">
    <w:name w:val="PÀÀr. der. 8"/>
    <w:rsid w:val="00DC213F"/>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napToGrid w:val="0"/>
      <w:sz w:val="24"/>
      <w:lang w:val="en-US" w:eastAsia="es-ES"/>
    </w:rPr>
  </w:style>
  <w:style w:type="character" w:customStyle="1" w:styleId="Tcnico2">
    <w:name w:val="TÀ)Àcnico 2"/>
    <w:basedOn w:val="Fuentedeencabezadopredeter"/>
    <w:rsid w:val="00DC213F"/>
    <w:rPr>
      <w:rFonts w:ascii="Courier" w:hAnsi="Courier"/>
      <w:noProof w:val="0"/>
      <w:sz w:val="24"/>
      <w:lang w:val="en-US"/>
    </w:rPr>
  </w:style>
  <w:style w:type="character" w:customStyle="1" w:styleId="Tcnico3">
    <w:name w:val="TÀ)Àcnico 3"/>
    <w:basedOn w:val="Fuentedeencabezadopredeter"/>
    <w:rsid w:val="00DC213F"/>
    <w:rPr>
      <w:rFonts w:ascii="Courier" w:hAnsi="Courier"/>
      <w:noProof w:val="0"/>
      <w:sz w:val="24"/>
      <w:lang w:val="en-US"/>
    </w:rPr>
  </w:style>
  <w:style w:type="paragraph" w:customStyle="1" w:styleId="Tcnico4">
    <w:name w:val="TÀ)Àcnico 4"/>
    <w:rsid w:val="00DC213F"/>
    <w:pPr>
      <w:tabs>
        <w:tab w:val="left" w:pos="-720"/>
      </w:tabs>
      <w:suppressAutoHyphens/>
    </w:pPr>
    <w:rPr>
      <w:rFonts w:ascii="Courier" w:hAnsi="Courier"/>
      <w:b/>
      <w:snapToGrid w:val="0"/>
      <w:sz w:val="24"/>
      <w:lang w:val="en-US" w:eastAsia="es-ES"/>
    </w:rPr>
  </w:style>
  <w:style w:type="character" w:customStyle="1" w:styleId="Tcnico1">
    <w:name w:val="TÀ)Àcnico 1"/>
    <w:basedOn w:val="Fuentedeencabezadopredeter"/>
    <w:rsid w:val="00DC213F"/>
    <w:rPr>
      <w:rFonts w:ascii="Courier" w:hAnsi="Courier"/>
      <w:noProof w:val="0"/>
      <w:sz w:val="24"/>
      <w:lang w:val="en-US"/>
    </w:rPr>
  </w:style>
  <w:style w:type="character" w:customStyle="1" w:styleId="Inicdoc">
    <w:name w:val="Inic. doc."/>
    <w:basedOn w:val="Fuentedeencabezadopredeter"/>
    <w:rsid w:val="00DC213F"/>
  </w:style>
  <w:style w:type="paragraph" w:customStyle="1" w:styleId="Tcnico5">
    <w:name w:val="TÀ)Àcnico 5"/>
    <w:rsid w:val="00DC213F"/>
    <w:pPr>
      <w:tabs>
        <w:tab w:val="left" w:pos="-720"/>
      </w:tabs>
      <w:suppressAutoHyphens/>
      <w:ind w:firstLine="720"/>
    </w:pPr>
    <w:rPr>
      <w:rFonts w:ascii="Courier" w:hAnsi="Courier"/>
      <w:b/>
      <w:snapToGrid w:val="0"/>
      <w:sz w:val="24"/>
      <w:lang w:val="en-US" w:eastAsia="es-ES"/>
    </w:rPr>
  </w:style>
  <w:style w:type="paragraph" w:customStyle="1" w:styleId="Tcnico6">
    <w:name w:val="TÀ)Àcnico 6"/>
    <w:rsid w:val="00DC213F"/>
    <w:pPr>
      <w:tabs>
        <w:tab w:val="left" w:pos="-720"/>
      </w:tabs>
      <w:suppressAutoHyphens/>
      <w:ind w:firstLine="720"/>
    </w:pPr>
    <w:rPr>
      <w:rFonts w:ascii="Courier" w:hAnsi="Courier"/>
      <w:b/>
      <w:snapToGrid w:val="0"/>
      <w:sz w:val="24"/>
      <w:lang w:val="en-US" w:eastAsia="es-ES"/>
    </w:rPr>
  </w:style>
  <w:style w:type="paragraph" w:customStyle="1" w:styleId="Tcnico7">
    <w:name w:val="TÀ)Àcnico 7"/>
    <w:rsid w:val="00DC213F"/>
    <w:pPr>
      <w:tabs>
        <w:tab w:val="left" w:pos="-720"/>
      </w:tabs>
      <w:suppressAutoHyphens/>
      <w:ind w:firstLine="720"/>
    </w:pPr>
    <w:rPr>
      <w:rFonts w:ascii="Courier" w:hAnsi="Courier"/>
      <w:b/>
      <w:snapToGrid w:val="0"/>
      <w:sz w:val="24"/>
      <w:lang w:val="en-US" w:eastAsia="es-ES"/>
    </w:rPr>
  </w:style>
  <w:style w:type="paragraph" w:customStyle="1" w:styleId="Tcnico8">
    <w:name w:val="TÀ)Àcnico 8"/>
    <w:rsid w:val="00DC213F"/>
    <w:pPr>
      <w:tabs>
        <w:tab w:val="left" w:pos="-720"/>
      </w:tabs>
      <w:suppressAutoHyphens/>
      <w:ind w:firstLine="720"/>
    </w:pPr>
    <w:rPr>
      <w:rFonts w:ascii="Courier" w:hAnsi="Courier"/>
      <w:b/>
      <w:snapToGrid w:val="0"/>
      <w:sz w:val="24"/>
      <w:lang w:val="en-US" w:eastAsia="es-ES"/>
    </w:rPr>
  </w:style>
  <w:style w:type="character" w:customStyle="1" w:styleId="Inicestt">
    <w:name w:val="Inic. est. t"/>
    <w:basedOn w:val="Fuentedeencabezadopredeter"/>
    <w:rsid w:val="00DC213F"/>
    <w:rPr>
      <w:rFonts w:ascii="Courier" w:hAnsi="Courier"/>
      <w:noProof w:val="0"/>
      <w:sz w:val="24"/>
      <w:lang w:val="en-US"/>
    </w:rPr>
  </w:style>
  <w:style w:type="paragraph" w:customStyle="1" w:styleId="Escrlegal">
    <w:name w:val="Escr. legal"/>
    <w:rsid w:val="00DC213F"/>
    <w:pPr>
      <w:tabs>
        <w:tab w:val="left" w:pos="-720"/>
      </w:tabs>
      <w:suppressAutoHyphens/>
      <w:spacing w:line="240" w:lineRule="exact"/>
    </w:pPr>
    <w:rPr>
      <w:rFonts w:ascii="Courier" w:hAnsi="Courier"/>
      <w:snapToGrid w:val="0"/>
      <w:sz w:val="24"/>
      <w:lang w:val="en-US" w:eastAsia="es-ES"/>
    </w:rPr>
  </w:style>
  <w:style w:type="character" w:customStyle="1" w:styleId="DefaultParagraphFo">
    <w:name w:val="Default Paragraph Fo"/>
    <w:basedOn w:val="Fuentedeencabezadopredeter"/>
    <w:rsid w:val="00DC213F"/>
  </w:style>
  <w:style w:type="character" w:customStyle="1" w:styleId="Fuentedeencabezado">
    <w:name w:val="Fuente de encabezado"/>
    <w:basedOn w:val="Fuentedeencabezadopredeter"/>
    <w:rsid w:val="00DC213F"/>
  </w:style>
  <w:style w:type="character" w:customStyle="1" w:styleId="Documento4a">
    <w:name w:val="Documento 4a"/>
    <w:basedOn w:val="Fuentedeencabezadopredeter"/>
    <w:rsid w:val="00DC213F"/>
    <w:rPr>
      <w:b/>
      <w:i/>
      <w:sz w:val="24"/>
    </w:rPr>
  </w:style>
  <w:style w:type="character" w:customStyle="1" w:styleId="Documento5a">
    <w:name w:val="Documento 5a"/>
    <w:basedOn w:val="Fuentedeencabezadopredeter"/>
    <w:rsid w:val="00DC213F"/>
  </w:style>
  <w:style w:type="character" w:customStyle="1" w:styleId="Documento2a">
    <w:name w:val="Documento 2a"/>
    <w:basedOn w:val="Fuentedeencabezadopredeter"/>
    <w:rsid w:val="00DC213F"/>
  </w:style>
  <w:style w:type="character" w:customStyle="1" w:styleId="Documento6a">
    <w:name w:val="Documento 6a"/>
    <w:basedOn w:val="Fuentedeencabezadopredeter"/>
    <w:rsid w:val="00DC213F"/>
  </w:style>
  <w:style w:type="character" w:customStyle="1" w:styleId="Documento7a">
    <w:name w:val="Documento 7a"/>
    <w:basedOn w:val="Fuentedeencabezadopredeter"/>
    <w:rsid w:val="00DC213F"/>
  </w:style>
  <w:style w:type="character" w:customStyle="1" w:styleId="Documento8a">
    <w:name w:val="Documento 8a"/>
    <w:basedOn w:val="Fuentedeencabezadopredeter"/>
    <w:rsid w:val="00DC213F"/>
  </w:style>
  <w:style w:type="character" w:customStyle="1" w:styleId="Documento3a">
    <w:name w:val="Documento 3a"/>
    <w:basedOn w:val="Fuentedeencabezadopredeter"/>
    <w:rsid w:val="00DC213F"/>
  </w:style>
  <w:style w:type="paragraph" w:customStyle="1" w:styleId="Prder1a">
    <w:name w:val="PÀÀr. der. 1a"/>
    <w:rsid w:val="00DC213F"/>
    <w:pPr>
      <w:tabs>
        <w:tab w:val="left" w:pos="-1026"/>
        <w:tab w:val="left" w:pos="-306"/>
        <w:tab w:val="left" w:pos="205"/>
        <w:tab w:val="decimal"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paragraph" w:customStyle="1" w:styleId="Prder2a">
    <w:name w:val="PÀÀr. der. 2a"/>
    <w:rsid w:val="00DC213F"/>
    <w:pPr>
      <w:tabs>
        <w:tab w:val="left" w:pos="-1026"/>
        <w:tab w:val="left" w:pos="-306"/>
        <w:tab w:val="left" w:pos="414"/>
        <w:tab w:val="left" w:pos="840"/>
        <w:tab w:val="decimal"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paragraph" w:customStyle="1" w:styleId="Prder3a">
    <w:name w:val="PÀÀr. der. 3a"/>
    <w:rsid w:val="00DC213F"/>
    <w:pPr>
      <w:tabs>
        <w:tab w:val="left" w:pos="-1026"/>
        <w:tab w:val="left" w:pos="-306"/>
        <w:tab w:val="left" w:pos="414"/>
        <w:tab w:val="left" w:pos="1134"/>
        <w:tab w:val="left" w:pos="1618"/>
        <w:tab w:val="decimal"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paragraph" w:customStyle="1" w:styleId="Prder4a">
    <w:name w:val="PÀÀr. der. 4a"/>
    <w:rsid w:val="00DC213F"/>
    <w:pPr>
      <w:tabs>
        <w:tab w:val="left" w:pos="-1026"/>
        <w:tab w:val="left" w:pos="-306"/>
        <w:tab w:val="left" w:pos="414"/>
        <w:tab w:val="left" w:pos="1134"/>
        <w:tab w:val="left" w:pos="1854"/>
        <w:tab w:val="left" w:pos="2338"/>
        <w:tab w:val="decimal"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paragraph" w:customStyle="1" w:styleId="Documento1a">
    <w:name w:val="Documento 1a"/>
    <w:rsid w:val="00DC213F"/>
    <w:pPr>
      <w:keepNext/>
      <w:keepLines/>
      <w:tabs>
        <w:tab w:val="left" w:pos="-1026"/>
        <w:tab w:val="left" w:pos="-306"/>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paragraph" w:customStyle="1" w:styleId="Prder5a">
    <w:name w:val="PÀÀr. der. 5a"/>
    <w:rsid w:val="00DC213F"/>
    <w:pPr>
      <w:tabs>
        <w:tab w:val="left" w:pos="-1026"/>
        <w:tab w:val="left" w:pos="-306"/>
        <w:tab w:val="left" w:pos="414"/>
        <w:tab w:val="left" w:pos="1134"/>
        <w:tab w:val="left" w:pos="1854"/>
        <w:tab w:val="left" w:pos="2574"/>
        <w:tab w:val="left" w:pos="2938"/>
        <w:tab w:val="decimal"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paragraph" w:customStyle="1" w:styleId="Prder6a">
    <w:name w:val="PÀÀr. der. 6a"/>
    <w:rsid w:val="00DC213F"/>
    <w:pPr>
      <w:tabs>
        <w:tab w:val="left" w:pos="-1026"/>
        <w:tab w:val="left" w:pos="-306"/>
        <w:tab w:val="left" w:pos="414"/>
        <w:tab w:val="left" w:pos="1134"/>
        <w:tab w:val="left" w:pos="1854"/>
        <w:tab w:val="left" w:pos="2574"/>
        <w:tab w:val="left" w:pos="3294"/>
        <w:tab w:val="left" w:pos="3658"/>
        <w:tab w:val="decimal" w:pos="4014"/>
        <w:tab w:val="left" w:pos="4734"/>
        <w:tab w:val="left"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paragraph" w:customStyle="1" w:styleId="Prder7a">
    <w:name w:val="PÀÀr. der. 7a"/>
    <w:rsid w:val="00DC213F"/>
    <w:pPr>
      <w:tabs>
        <w:tab w:val="left" w:pos="-1026"/>
        <w:tab w:val="left" w:pos="-306"/>
        <w:tab w:val="left" w:pos="414"/>
        <w:tab w:val="left" w:pos="1134"/>
        <w:tab w:val="left" w:pos="1854"/>
        <w:tab w:val="left" w:pos="2574"/>
        <w:tab w:val="left" w:pos="3294"/>
        <w:tab w:val="left" w:pos="4014"/>
        <w:tab w:val="left" w:pos="4512"/>
        <w:tab w:val="decimal" w:pos="4734"/>
        <w:tab w:val="left"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paragraph" w:customStyle="1" w:styleId="Prder8a">
    <w:name w:val="PÀÀr. der. 8a"/>
    <w:rsid w:val="00DC213F"/>
    <w:pPr>
      <w:tabs>
        <w:tab w:val="left" w:pos="-1026"/>
        <w:tab w:val="left" w:pos="-306"/>
        <w:tab w:val="left" w:pos="414"/>
        <w:tab w:val="left" w:pos="1134"/>
        <w:tab w:val="left" w:pos="1854"/>
        <w:tab w:val="left" w:pos="2574"/>
        <w:tab w:val="left" w:pos="3294"/>
        <w:tab w:val="left" w:pos="4014"/>
        <w:tab w:val="left" w:pos="4734"/>
        <w:tab w:val="left" w:pos="5184"/>
        <w:tab w:val="decimal"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character" w:customStyle="1" w:styleId="Tcnico2a">
    <w:name w:val="TÀ)Àcnico 2a"/>
    <w:basedOn w:val="Fuentedeencabezadopredeter"/>
    <w:rsid w:val="00DC213F"/>
  </w:style>
  <w:style w:type="character" w:customStyle="1" w:styleId="Tcnico3a">
    <w:name w:val="TÀ)Àcnico 3a"/>
    <w:basedOn w:val="Fuentedeencabezadopredeter"/>
    <w:rsid w:val="00DC213F"/>
  </w:style>
  <w:style w:type="paragraph" w:customStyle="1" w:styleId="Tcnico4a">
    <w:name w:val="TÀ)Àcnico 4a"/>
    <w:rsid w:val="00DC213F"/>
    <w:pPr>
      <w:tabs>
        <w:tab w:val="left" w:pos="-1026"/>
        <w:tab w:val="left" w:pos="-306"/>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b/>
      <w:snapToGrid w:val="0"/>
      <w:sz w:val="24"/>
      <w:lang w:val="en-US" w:eastAsia="es-ES"/>
    </w:rPr>
  </w:style>
  <w:style w:type="character" w:customStyle="1" w:styleId="Tcnico1a">
    <w:name w:val="TÀ)Àcnico 1a"/>
    <w:basedOn w:val="Fuentedeencabezadopredeter"/>
    <w:rsid w:val="00DC213F"/>
  </w:style>
  <w:style w:type="paragraph" w:customStyle="1" w:styleId="Tcnico5a">
    <w:name w:val="TÀ)Àcnico 5a"/>
    <w:rsid w:val="00DC213F"/>
    <w:pPr>
      <w:tabs>
        <w:tab w:val="left" w:pos="-1026"/>
        <w:tab w:val="left" w:pos="-306"/>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b/>
      <w:snapToGrid w:val="0"/>
      <w:sz w:val="24"/>
      <w:lang w:val="en-US" w:eastAsia="es-ES"/>
    </w:rPr>
  </w:style>
  <w:style w:type="paragraph" w:customStyle="1" w:styleId="Tcnico6a">
    <w:name w:val="TÀ)Àcnico 6a"/>
    <w:rsid w:val="00DC213F"/>
    <w:pPr>
      <w:tabs>
        <w:tab w:val="left" w:pos="-1026"/>
        <w:tab w:val="left" w:pos="-306"/>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b/>
      <w:snapToGrid w:val="0"/>
      <w:sz w:val="24"/>
      <w:lang w:val="en-US" w:eastAsia="es-ES"/>
    </w:rPr>
  </w:style>
  <w:style w:type="paragraph" w:customStyle="1" w:styleId="Tcnico7a">
    <w:name w:val="TÀ)Àcnico 7a"/>
    <w:rsid w:val="00DC213F"/>
    <w:pPr>
      <w:tabs>
        <w:tab w:val="left" w:pos="-1026"/>
        <w:tab w:val="left" w:pos="-306"/>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b/>
      <w:snapToGrid w:val="0"/>
      <w:sz w:val="24"/>
      <w:lang w:val="en-US" w:eastAsia="es-ES"/>
    </w:rPr>
  </w:style>
  <w:style w:type="paragraph" w:customStyle="1" w:styleId="Tcnico8a">
    <w:name w:val="TÀ)Àcnico 8a"/>
    <w:rsid w:val="00DC213F"/>
    <w:pPr>
      <w:tabs>
        <w:tab w:val="left" w:pos="-1026"/>
        <w:tab w:val="left" w:pos="-306"/>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b/>
      <w:snapToGrid w:val="0"/>
      <w:sz w:val="24"/>
      <w:lang w:val="en-US" w:eastAsia="es-ES"/>
    </w:rPr>
  </w:style>
  <w:style w:type="character" w:customStyle="1" w:styleId="EquationCaption">
    <w:name w:val="_Equation Caption"/>
    <w:basedOn w:val="Fuentedeencabezadopredeter"/>
    <w:rsid w:val="00DC213F"/>
  </w:style>
  <w:style w:type="paragraph" w:customStyle="1" w:styleId="ndice1">
    <w:name w:val="índice 1"/>
    <w:basedOn w:val="Normal"/>
    <w:rsid w:val="00DC213F"/>
    <w:pPr>
      <w:tabs>
        <w:tab w:val="left" w:leader="dot" w:pos="9000"/>
        <w:tab w:val="right" w:pos="9360"/>
      </w:tabs>
      <w:suppressAutoHyphens/>
      <w:ind w:left="1440" w:right="720" w:hanging="1440"/>
    </w:pPr>
    <w:rPr>
      <w:rFonts w:ascii="Courier" w:hAnsi="Courier"/>
      <w:sz w:val="24"/>
      <w:lang w:val="en-US"/>
    </w:rPr>
  </w:style>
  <w:style w:type="paragraph" w:customStyle="1" w:styleId="ndice2">
    <w:name w:val="índice 2"/>
    <w:basedOn w:val="Normal"/>
    <w:rsid w:val="00DC213F"/>
    <w:pPr>
      <w:tabs>
        <w:tab w:val="left" w:leader="dot" w:pos="9000"/>
        <w:tab w:val="right" w:pos="9360"/>
      </w:tabs>
      <w:suppressAutoHyphens/>
      <w:ind w:left="1440" w:right="720" w:hanging="720"/>
    </w:pPr>
    <w:rPr>
      <w:rFonts w:ascii="Courier" w:hAnsi="Courier"/>
      <w:sz w:val="24"/>
      <w:lang w:val="en-US"/>
    </w:rPr>
  </w:style>
  <w:style w:type="paragraph" w:customStyle="1" w:styleId="toa">
    <w:name w:val="toa"/>
    <w:basedOn w:val="Normal"/>
    <w:uiPriority w:val="99"/>
    <w:rsid w:val="00DC213F"/>
    <w:pPr>
      <w:tabs>
        <w:tab w:val="left" w:pos="9000"/>
        <w:tab w:val="right" w:pos="9360"/>
      </w:tabs>
      <w:suppressAutoHyphens/>
    </w:pPr>
    <w:rPr>
      <w:rFonts w:ascii="Courier" w:hAnsi="Courier"/>
      <w:sz w:val="24"/>
      <w:lang w:val="en-US"/>
    </w:rPr>
  </w:style>
  <w:style w:type="paragraph" w:customStyle="1" w:styleId="epgrafe">
    <w:name w:val="epígrafe"/>
    <w:basedOn w:val="Normal"/>
    <w:rsid w:val="00DC213F"/>
    <w:rPr>
      <w:rFonts w:ascii="Courier" w:hAnsi="Courier"/>
      <w:sz w:val="24"/>
    </w:rPr>
  </w:style>
  <w:style w:type="character" w:customStyle="1" w:styleId="EquationCaption1">
    <w:name w:val="_Equation Caption1"/>
    <w:rsid w:val="00DC213F"/>
  </w:style>
  <w:style w:type="paragraph" w:styleId="Textoindependiente">
    <w:name w:val="Body Text"/>
    <w:basedOn w:val="Normal"/>
    <w:link w:val="TextoindependienteCar"/>
    <w:rsid w:val="00DC213F"/>
    <w:pPr>
      <w:spacing w:line="240" w:lineRule="atLeast"/>
      <w:jc w:val="both"/>
    </w:pPr>
    <w:rPr>
      <w:rFonts w:ascii="Arial" w:hAnsi="Arial"/>
      <w:spacing w:val="20"/>
      <w:sz w:val="16"/>
    </w:rPr>
  </w:style>
  <w:style w:type="character" w:customStyle="1" w:styleId="TextoindependienteCar">
    <w:name w:val="Texto independiente Car"/>
    <w:basedOn w:val="Fuentedeprrafopredeter"/>
    <w:link w:val="Textoindependiente"/>
    <w:rsid w:val="008222BC"/>
    <w:rPr>
      <w:rFonts w:ascii="Arial" w:hAnsi="Arial"/>
      <w:snapToGrid w:val="0"/>
      <w:spacing w:val="20"/>
      <w:sz w:val="16"/>
      <w:lang w:val="es-ES_tradnl" w:eastAsia="es-ES"/>
    </w:rPr>
  </w:style>
  <w:style w:type="paragraph" w:styleId="Sangradetextonormal">
    <w:name w:val="Body Text Indent"/>
    <w:basedOn w:val="Normal"/>
    <w:link w:val="SangradetextonormalCar"/>
    <w:rsid w:val="00DC213F"/>
    <w:pPr>
      <w:ind w:left="2127" w:hanging="1410"/>
      <w:jc w:val="both"/>
    </w:pPr>
    <w:rPr>
      <w:rFonts w:ascii="Arial" w:hAnsi="Arial"/>
      <w:sz w:val="22"/>
      <w:lang w:val="es-MX"/>
    </w:rPr>
  </w:style>
  <w:style w:type="character" w:customStyle="1" w:styleId="SangradetextonormalCar">
    <w:name w:val="Sangría de texto normal Car"/>
    <w:basedOn w:val="Fuentedeprrafopredeter"/>
    <w:link w:val="Sangradetextonormal"/>
    <w:rsid w:val="008222BC"/>
    <w:rPr>
      <w:rFonts w:ascii="Arial" w:hAnsi="Arial"/>
      <w:snapToGrid w:val="0"/>
      <w:sz w:val="22"/>
      <w:lang w:val="es-MX" w:eastAsia="es-ES"/>
    </w:rPr>
  </w:style>
  <w:style w:type="paragraph" w:styleId="Ttulo">
    <w:name w:val="Title"/>
    <w:basedOn w:val="Normal"/>
    <w:link w:val="TtuloCar"/>
    <w:uiPriority w:val="99"/>
    <w:qFormat/>
    <w:rsid w:val="00DC213F"/>
    <w:pPr>
      <w:spacing w:line="240" w:lineRule="atLeast"/>
      <w:ind w:left="1474" w:hanging="1474"/>
      <w:jc w:val="center"/>
    </w:pPr>
    <w:rPr>
      <w:rFonts w:ascii="Arial" w:hAnsi="Arial"/>
      <w:b/>
      <w:spacing w:val="20"/>
      <w:sz w:val="16"/>
    </w:rPr>
  </w:style>
  <w:style w:type="character" w:customStyle="1" w:styleId="TtuloCar">
    <w:name w:val="Título Car"/>
    <w:basedOn w:val="Fuentedeprrafopredeter"/>
    <w:link w:val="Ttulo"/>
    <w:uiPriority w:val="99"/>
    <w:rsid w:val="008222BC"/>
    <w:rPr>
      <w:rFonts w:ascii="Arial" w:hAnsi="Arial"/>
      <w:b/>
      <w:snapToGrid w:val="0"/>
      <w:spacing w:val="20"/>
      <w:sz w:val="16"/>
      <w:lang w:val="es-ES_tradnl" w:eastAsia="es-ES"/>
    </w:rPr>
  </w:style>
  <w:style w:type="paragraph" w:styleId="Sangra2detindependiente">
    <w:name w:val="Body Text Indent 2"/>
    <w:basedOn w:val="Normal"/>
    <w:link w:val="Sangra2detindependienteCar"/>
    <w:rsid w:val="00DC213F"/>
    <w:pPr>
      <w:suppressAutoHyphens/>
      <w:ind w:left="284" w:hanging="284"/>
      <w:jc w:val="both"/>
    </w:pPr>
    <w:rPr>
      <w:snapToGrid/>
      <w:sz w:val="24"/>
    </w:rPr>
  </w:style>
  <w:style w:type="character" w:customStyle="1" w:styleId="Sangra2detindependienteCar">
    <w:name w:val="Sangría 2 de t. independiente Car"/>
    <w:basedOn w:val="Fuentedeprrafopredeter"/>
    <w:link w:val="Sangra2detindependiente"/>
    <w:rsid w:val="008222BC"/>
    <w:rPr>
      <w:sz w:val="24"/>
      <w:lang w:val="es-ES_tradnl" w:eastAsia="es-ES"/>
    </w:rPr>
  </w:style>
  <w:style w:type="character" w:styleId="Refdecomentario">
    <w:name w:val="annotation reference"/>
    <w:basedOn w:val="Fuentedeprrafopredeter"/>
    <w:semiHidden/>
    <w:rsid w:val="00F25F58"/>
    <w:rPr>
      <w:sz w:val="16"/>
      <w:szCs w:val="16"/>
    </w:rPr>
  </w:style>
  <w:style w:type="paragraph" w:styleId="Textocomentario">
    <w:name w:val="annotation text"/>
    <w:basedOn w:val="Normal"/>
    <w:link w:val="TextocomentarioCar"/>
    <w:semiHidden/>
    <w:rsid w:val="00F25F58"/>
  </w:style>
  <w:style w:type="character" w:customStyle="1" w:styleId="TextocomentarioCar">
    <w:name w:val="Texto comentario Car"/>
    <w:basedOn w:val="Fuentedeprrafopredeter"/>
    <w:link w:val="Textocomentario"/>
    <w:semiHidden/>
    <w:rsid w:val="008222BC"/>
    <w:rPr>
      <w:snapToGrid w:val="0"/>
      <w:lang w:val="es-ES_tradnl" w:eastAsia="es-ES"/>
    </w:rPr>
  </w:style>
  <w:style w:type="paragraph" w:styleId="Asuntodelcomentario">
    <w:name w:val="annotation subject"/>
    <w:basedOn w:val="Textocomentario"/>
    <w:next w:val="Textocomentario"/>
    <w:link w:val="AsuntodelcomentarioCar"/>
    <w:semiHidden/>
    <w:rsid w:val="00F25F58"/>
    <w:rPr>
      <w:b/>
      <w:bCs/>
    </w:rPr>
  </w:style>
  <w:style w:type="character" w:customStyle="1" w:styleId="AsuntodelcomentarioCar">
    <w:name w:val="Asunto del comentario Car"/>
    <w:basedOn w:val="TextocomentarioCar"/>
    <w:link w:val="Asuntodelcomentario"/>
    <w:semiHidden/>
    <w:rsid w:val="008222BC"/>
    <w:rPr>
      <w:b/>
      <w:bCs/>
      <w:snapToGrid w:val="0"/>
      <w:lang w:val="es-ES_tradnl" w:eastAsia="es-ES"/>
    </w:rPr>
  </w:style>
  <w:style w:type="paragraph" w:styleId="Textodeglobo">
    <w:name w:val="Balloon Text"/>
    <w:basedOn w:val="Normal"/>
    <w:link w:val="TextodegloboCar"/>
    <w:semiHidden/>
    <w:rsid w:val="00F25F58"/>
    <w:rPr>
      <w:rFonts w:ascii="Tahoma" w:hAnsi="Tahoma" w:cs="Tahoma"/>
      <w:sz w:val="16"/>
      <w:szCs w:val="16"/>
    </w:rPr>
  </w:style>
  <w:style w:type="character" w:customStyle="1" w:styleId="TextodegloboCar">
    <w:name w:val="Texto de globo Car"/>
    <w:basedOn w:val="Fuentedeprrafopredeter"/>
    <w:link w:val="Textodeglobo"/>
    <w:semiHidden/>
    <w:rsid w:val="008222BC"/>
    <w:rPr>
      <w:rFonts w:ascii="Tahoma" w:hAnsi="Tahoma" w:cs="Tahoma"/>
      <w:snapToGrid w:val="0"/>
      <w:sz w:val="16"/>
      <w:szCs w:val="16"/>
      <w:lang w:val="es-ES_tradnl" w:eastAsia="es-ES"/>
    </w:rPr>
  </w:style>
  <w:style w:type="paragraph" w:styleId="Textonotapie">
    <w:name w:val="footnote text"/>
    <w:basedOn w:val="Normal"/>
    <w:link w:val="TextonotapieCar"/>
    <w:semiHidden/>
    <w:rsid w:val="005C4C58"/>
  </w:style>
  <w:style w:type="character" w:customStyle="1" w:styleId="TextonotapieCar">
    <w:name w:val="Texto nota pie Car"/>
    <w:basedOn w:val="Fuentedeprrafopredeter"/>
    <w:link w:val="Textonotapie"/>
    <w:semiHidden/>
    <w:rsid w:val="008222BC"/>
    <w:rPr>
      <w:snapToGrid w:val="0"/>
      <w:lang w:val="es-ES_tradnl" w:eastAsia="es-ES"/>
    </w:rPr>
  </w:style>
  <w:style w:type="character" w:styleId="Refdenotaalpie">
    <w:name w:val="footnote reference"/>
    <w:basedOn w:val="Fuentedeprrafopredeter"/>
    <w:semiHidden/>
    <w:rsid w:val="005C4C58"/>
    <w:rPr>
      <w:vertAlign w:val="superscript"/>
    </w:rPr>
  </w:style>
  <w:style w:type="paragraph" w:styleId="Prrafodelista">
    <w:name w:val="List Paragraph"/>
    <w:basedOn w:val="Normal"/>
    <w:uiPriority w:val="34"/>
    <w:qFormat/>
    <w:rsid w:val="008222BC"/>
    <w:pPr>
      <w:ind w:left="720"/>
      <w:contextualSpacing/>
    </w:pPr>
  </w:style>
  <w:style w:type="character" w:styleId="Hipervnculo">
    <w:name w:val="Hyperlink"/>
    <w:basedOn w:val="Fuentedeprrafopredeter"/>
    <w:uiPriority w:val="99"/>
    <w:unhideWhenUsed/>
    <w:rsid w:val="008222BC"/>
    <w:rPr>
      <w:color w:val="0000FF"/>
      <w:u w:val="single"/>
    </w:rPr>
  </w:style>
  <w:style w:type="character" w:styleId="Hipervnculovisitado">
    <w:name w:val="FollowedHyperlink"/>
    <w:basedOn w:val="Fuentedeprrafopredeter"/>
    <w:uiPriority w:val="99"/>
    <w:unhideWhenUsed/>
    <w:rsid w:val="008222BC"/>
    <w:rPr>
      <w:color w:val="800080"/>
      <w:u w:val="single"/>
    </w:rPr>
  </w:style>
  <w:style w:type="paragraph" w:customStyle="1" w:styleId="xl69">
    <w:name w:val="xl69"/>
    <w:basedOn w:val="Normal"/>
    <w:rsid w:val="008222BC"/>
    <w:pPr>
      <w:shd w:val="clear" w:color="000000" w:fill="FFFFFF"/>
      <w:spacing w:before="100" w:beforeAutospacing="1" w:after="100" w:afterAutospacing="1"/>
    </w:pPr>
    <w:rPr>
      <w:snapToGrid/>
      <w:sz w:val="18"/>
      <w:szCs w:val="18"/>
      <w:lang w:val="es-CO" w:eastAsia="es-CO"/>
    </w:rPr>
  </w:style>
  <w:style w:type="paragraph" w:customStyle="1" w:styleId="xl70">
    <w:name w:val="xl70"/>
    <w:basedOn w:val="Normal"/>
    <w:rsid w:val="008222BC"/>
    <w:pPr>
      <w:pBdr>
        <w:top w:val="single" w:sz="4" w:space="0" w:color="auto"/>
        <w:left w:val="single" w:sz="4" w:space="0" w:color="auto"/>
        <w:bottom w:val="single" w:sz="4" w:space="0" w:color="auto"/>
        <w:right w:val="single" w:sz="4" w:space="0" w:color="auto"/>
      </w:pBdr>
      <w:shd w:val="clear" w:color="99CC00" w:fill="D9D9D9"/>
      <w:spacing w:before="100" w:beforeAutospacing="1" w:after="100" w:afterAutospacing="1"/>
      <w:jc w:val="center"/>
      <w:textAlignment w:val="center"/>
    </w:pPr>
    <w:rPr>
      <w:rFonts w:ascii="Arial" w:hAnsi="Arial" w:cs="Arial"/>
      <w:snapToGrid/>
      <w:sz w:val="18"/>
      <w:szCs w:val="18"/>
      <w:lang w:val="es-CO" w:eastAsia="es-CO"/>
    </w:rPr>
  </w:style>
  <w:style w:type="paragraph" w:customStyle="1" w:styleId="xl71">
    <w:name w:val="xl71"/>
    <w:basedOn w:val="Normal"/>
    <w:rsid w:val="008222BC"/>
    <w:pPr>
      <w:pBdr>
        <w:top w:val="single" w:sz="4" w:space="0" w:color="auto"/>
        <w:left w:val="single" w:sz="4" w:space="0" w:color="auto"/>
        <w:bottom w:val="single" w:sz="4" w:space="0" w:color="auto"/>
        <w:right w:val="single" w:sz="4" w:space="0" w:color="auto"/>
      </w:pBdr>
      <w:shd w:val="clear" w:color="99CC00" w:fill="auto"/>
      <w:spacing w:before="100" w:beforeAutospacing="1" w:after="100" w:afterAutospacing="1"/>
      <w:jc w:val="both"/>
      <w:textAlignment w:val="center"/>
    </w:pPr>
    <w:rPr>
      <w:rFonts w:ascii="Arial" w:hAnsi="Arial" w:cs="Arial"/>
      <w:snapToGrid/>
      <w:sz w:val="18"/>
      <w:szCs w:val="18"/>
      <w:lang w:val="es-CO" w:eastAsia="es-CO"/>
    </w:rPr>
  </w:style>
  <w:style w:type="paragraph" w:customStyle="1" w:styleId="xl72">
    <w:name w:val="xl72"/>
    <w:basedOn w:val="Normal"/>
    <w:rsid w:val="00822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napToGrid/>
      <w:sz w:val="18"/>
      <w:szCs w:val="18"/>
      <w:lang w:val="es-CO" w:eastAsia="es-CO"/>
    </w:rPr>
  </w:style>
  <w:style w:type="paragraph" w:customStyle="1" w:styleId="xl73">
    <w:name w:val="xl73"/>
    <w:basedOn w:val="Normal"/>
    <w:rsid w:val="008222BC"/>
    <w:pPr>
      <w:pBdr>
        <w:top w:val="single" w:sz="4" w:space="0" w:color="auto"/>
        <w:left w:val="single" w:sz="4" w:space="0" w:color="auto"/>
        <w:bottom w:val="single" w:sz="4" w:space="0" w:color="auto"/>
        <w:right w:val="single" w:sz="4" w:space="0" w:color="auto"/>
      </w:pBdr>
      <w:shd w:val="clear" w:color="99CC00" w:fill="auto"/>
      <w:spacing w:before="100" w:beforeAutospacing="1" w:after="100" w:afterAutospacing="1"/>
      <w:jc w:val="center"/>
      <w:textAlignment w:val="center"/>
    </w:pPr>
    <w:rPr>
      <w:rFonts w:ascii="Arial" w:hAnsi="Arial" w:cs="Arial"/>
      <w:snapToGrid/>
      <w:sz w:val="18"/>
      <w:szCs w:val="18"/>
      <w:lang w:val="es-CO" w:eastAsia="es-CO"/>
    </w:rPr>
  </w:style>
  <w:style w:type="paragraph" w:customStyle="1" w:styleId="Default">
    <w:name w:val="Default"/>
    <w:rsid w:val="008222BC"/>
    <w:pPr>
      <w:autoSpaceDE w:val="0"/>
      <w:autoSpaceDN w:val="0"/>
      <w:adjustRightInd w:val="0"/>
    </w:pPr>
    <w:rPr>
      <w:rFonts w:ascii="Arial" w:eastAsiaTheme="minorHAnsi" w:hAnsi="Arial" w:cs="Arial"/>
      <w:color w:val="000000"/>
      <w:sz w:val="24"/>
      <w:szCs w:val="24"/>
      <w:lang w:eastAsia="en-US"/>
    </w:rPr>
  </w:style>
  <w:style w:type="paragraph" w:customStyle="1" w:styleId="xl74">
    <w:name w:val="xl74"/>
    <w:basedOn w:val="Normal"/>
    <w:rsid w:val="00822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napToGrid/>
      <w:sz w:val="18"/>
      <w:szCs w:val="18"/>
      <w:lang w:val="es-CO" w:eastAsia="es-CO"/>
    </w:rPr>
  </w:style>
  <w:style w:type="paragraph" w:customStyle="1" w:styleId="xl75">
    <w:name w:val="xl75"/>
    <w:basedOn w:val="Normal"/>
    <w:rsid w:val="008222BC"/>
    <w:pPr>
      <w:pBdr>
        <w:top w:val="single" w:sz="4" w:space="0" w:color="auto"/>
        <w:left w:val="single" w:sz="4" w:space="0" w:color="auto"/>
        <w:bottom w:val="single" w:sz="4" w:space="0" w:color="auto"/>
        <w:right w:val="single" w:sz="4" w:space="0" w:color="auto"/>
      </w:pBdr>
      <w:shd w:val="clear" w:color="99CC00" w:fill="auto"/>
      <w:spacing w:before="100" w:beforeAutospacing="1" w:after="100" w:afterAutospacing="1"/>
      <w:jc w:val="center"/>
      <w:textAlignment w:val="center"/>
    </w:pPr>
    <w:rPr>
      <w:rFonts w:ascii="Arial" w:hAnsi="Arial" w:cs="Arial"/>
      <w:snapToGrid/>
      <w:sz w:val="18"/>
      <w:szCs w:val="18"/>
      <w:lang w:val="es-CO" w:eastAsia="es-CO"/>
    </w:rPr>
  </w:style>
  <w:style w:type="paragraph" w:customStyle="1" w:styleId="xl76">
    <w:name w:val="xl76"/>
    <w:basedOn w:val="Normal"/>
    <w:rsid w:val="008222BC"/>
    <w:pPr>
      <w:shd w:val="clear" w:color="000000" w:fill="FFFFFF"/>
      <w:spacing w:before="100" w:beforeAutospacing="1" w:after="100" w:afterAutospacing="1"/>
      <w:jc w:val="center"/>
      <w:textAlignment w:val="center"/>
    </w:pPr>
    <w:rPr>
      <w:rFonts w:ascii="Arial" w:hAnsi="Arial" w:cs="Arial"/>
      <w:snapToGrid/>
      <w:sz w:val="18"/>
      <w:szCs w:val="18"/>
      <w:lang w:val="es-CO" w:eastAsia="es-CO"/>
    </w:rPr>
  </w:style>
  <w:style w:type="paragraph" w:customStyle="1" w:styleId="xl77">
    <w:name w:val="xl77"/>
    <w:basedOn w:val="Normal"/>
    <w:rsid w:val="00822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napToGrid/>
      <w:sz w:val="18"/>
      <w:szCs w:val="18"/>
      <w:lang w:val="es-CO" w:eastAsia="es-CO"/>
    </w:rPr>
  </w:style>
  <w:style w:type="paragraph" w:styleId="NormalWeb">
    <w:name w:val="Normal (Web)"/>
    <w:basedOn w:val="Normal"/>
    <w:uiPriority w:val="99"/>
    <w:unhideWhenUsed/>
    <w:rsid w:val="008222BC"/>
    <w:pPr>
      <w:spacing w:before="100" w:beforeAutospacing="1" w:after="100" w:afterAutospacing="1"/>
    </w:pPr>
    <w:rPr>
      <w:rFonts w:eastAsiaTheme="minorEastAsia"/>
      <w:snapToGrid/>
      <w:sz w:val="24"/>
      <w:szCs w:val="24"/>
      <w:lang w:val="es-CO" w:eastAsia="es-CO"/>
    </w:rPr>
  </w:style>
  <w:style w:type="paragraph" w:styleId="Revisin">
    <w:name w:val="Revision"/>
    <w:hidden/>
    <w:uiPriority w:val="99"/>
    <w:semiHidden/>
    <w:rsid w:val="008222BC"/>
    <w:rPr>
      <w:snapToGrid w:val="0"/>
      <w:lang w:val="es-ES_tradnl" w:eastAsia="es-ES"/>
    </w:rPr>
  </w:style>
  <w:style w:type="paragraph" w:customStyle="1" w:styleId="xl78">
    <w:name w:val="xl78"/>
    <w:basedOn w:val="Normal"/>
    <w:rsid w:val="008222BC"/>
    <w:pPr>
      <w:pBdr>
        <w:top w:val="single" w:sz="4" w:space="0" w:color="auto"/>
        <w:left w:val="single" w:sz="4" w:space="0" w:color="auto"/>
        <w:bottom w:val="single" w:sz="4" w:space="0" w:color="auto"/>
        <w:right w:val="single" w:sz="4" w:space="0" w:color="auto"/>
      </w:pBdr>
      <w:shd w:val="clear" w:color="99CC00" w:fill="D9D9D9"/>
      <w:spacing w:before="100" w:beforeAutospacing="1" w:after="100" w:afterAutospacing="1"/>
      <w:jc w:val="center"/>
      <w:textAlignment w:val="center"/>
    </w:pPr>
    <w:rPr>
      <w:rFonts w:ascii="Arial" w:hAnsi="Arial" w:cs="Arial"/>
      <w:b/>
      <w:bCs/>
      <w:snapToGrid/>
      <w:sz w:val="16"/>
      <w:szCs w:val="16"/>
      <w:lang w:val="es-CO" w:eastAsia="es-CO"/>
    </w:rPr>
  </w:style>
  <w:style w:type="paragraph" w:customStyle="1" w:styleId="xl79">
    <w:name w:val="xl79"/>
    <w:basedOn w:val="Normal"/>
    <w:rsid w:val="008222B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snapToGrid/>
      <w:sz w:val="16"/>
      <w:szCs w:val="16"/>
      <w:lang w:val="es-CO" w:eastAsia="es-CO"/>
    </w:rPr>
  </w:style>
  <w:style w:type="paragraph" w:customStyle="1" w:styleId="xl80">
    <w:name w:val="xl80"/>
    <w:basedOn w:val="Normal"/>
    <w:rsid w:val="008222BC"/>
    <w:pPr>
      <w:pBdr>
        <w:top w:val="single" w:sz="4" w:space="0" w:color="auto"/>
        <w:left w:val="single" w:sz="4" w:space="0" w:color="auto"/>
        <w:bottom w:val="single" w:sz="4" w:space="0" w:color="auto"/>
        <w:right w:val="single" w:sz="4" w:space="0" w:color="auto"/>
      </w:pBdr>
      <w:shd w:val="clear" w:color="99CC00" w:fill="DCE6F1"/>
      <w:spacing w:before="100" w:beforeAutospacing="1" w:after="100" w:afterAutospacing="1"/>
      <w:jc w:val="both"/>
      <w:textAlignment w:val="center"/>
    </w:pPr>
    <w:rPr>
      <w:rFonts w:ascii="Arial" w:hAnsi="Arial" w:cs="Arial"/>
      <w:snapToGrid/>
      <w:sz w:val="16"/>
      <w:szCs w:val="16"/>
      <w:lang w:val="es-CO" w:eastAsia="es-CO"/>
    </w:rPr>
  </w:style>
  <w:style w:type="paragraph" w:customStyle="1" w:styleId="xl81">
    <w:name w:val="xl81"/>
    <w:basedOn w:val="Normal"/>
    <w:rsid w:val="008222BC"/>
    <w:pPr>
      <w:pBdr>
        <w:top w:val="single" w:sz="4" w:space="0" w:color="auto"/>
        <w:left w:val="single" w:sz="4" w:space="0" w:color="auto"/>
        <w:bottom w:val="single" w:sz="4" w:space="0" w:color="auto"/>
        <w:right w:val="single" w:sz="4" w:space="0" w:color="auto"/>
      </w:pBdr>
      <w:shd w:val="clear" w:color="99CC00" w:fill="DCE6F1"/>
      <w:spacing w:before="100" w:beforeAutospacing="1" w:after="100" w:afterAutospacing="1"/>
      <w:jc w:val="center"/>
      <w:textAlignment w:val="center"/>
    </w:pPr>
    <w:rPr>
      <w:rFonts w:ascii="Arial" w:hAnsi="Arial" w:cs="Arial"/>
      <w:snapToGrid/>
      <w:sz w:val="16"/>
      <w:szCs w:val="16"/>
      <w:lang w:val="es-CO" w:eastAsia="es-CO"/>
    </w:rPr>
  </w:style>
  <w:style w:type="paragraph" w:customStyle="1" w:styleId="xl82">
    <w:name w:val="xl82"/>
    <w:basedOn w:val="Normal"/>
    <w:rsid w:val="008222BC"/>
    <w:pPr>
      <w:shd w:val="clear" w:color="000000" w:fill="C0504D"/>
      <w:spacing w:before="100" w:beforeAutospacing="1" w:after="100" w:afterAutospacing="1"/>
    </w:pPr>
    <w:rPr>
      <w:rFonts w:ascii="Arial" w:hAnsi="Arial" w:cs="Arial"/>
      <w:snapToGrid/>
      <w:sz w:val="16"/>
      <w:szCs w:val="16"/>
      <w:lang w:val="es-CO" w:eastAsia="es-CO"/>
    </w:rPr>
  </w:style>
  <w:style w:type="paragraph" w:customStyle="1" w:styleId="xl83">
    <w:name w:val="xl83"/>
    <w:basedOn w:val="Normal"/>
    <w:rsid w:val="008222BC"/>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textAlignment w:val="center"/>
    </w:pPr>
    <w:rPr>
      <w:rFonts w:ascii="Arial" w:hAnsi="Arial" w:cs="Arial"/>
      <w:snapToGrid/>
      <w:sz w:val="16"/>
      <w:szCs w:val="16"/>
      <w:lang w:val="es-CO" w:eastAsia="es-CO"/>
    </w:rPr>
  </w:style>
  <w:style w:type="paragraph" w:customStyle="1" w:styleId="xl84">
    <w:name w:val="xl84"/>
    <w:basedOn w:val="Normal"/>
    <w:rsid w:val="008222BC"/>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Arial" w:hAnsi="Arial" w:cs="Arial"/>
      <w:snapToGrid/>
      <w:sz w:val="16"/>
      <w:szCs w:val="16"/>
      <w:lang w:val="es-CO" w:eastAsia="es-CO"/>
    </w:rPr>
  </w:style>
  <w:style w:type="paragraph" w:customStyle="1" w:styleId="xl85">
    <w:name w:val="xl85"/>
    <w:basedOn w:val="Normal"/>
    <w:rsid w:val="008222BC"/>
    <w:pPr>
      <w:pBdr>
        <w:top w:val="single" w:sz="4" w:space="0" w:color="auto"/>
        <w:left w:val="single" w:sz="4" w:space="0" w:color="auto"/>
        <w:bottom w:val="single" w:sz="4" w:space="0" w:color="auto"/>
        <w:right w:val="single" w:sz="4" w:space="0" w:color="auto"/>
      </w:pBdr>
      <w:shd w:val="clear" w:color="99CC00" w:fill="C0504D"/>
      <w:spacing w:before="100" w:beforeAutospacing="1" w:after="100" w:afterAutospacing="1"/>
      <w:jc w:val="center"/>
      <w:textAlignment w:val="center"/>
    </w:pPr>
    <w:rPr>
      <w:rFonts w:ascii="Arial" w:hAnsi="Arial" w:cs="Arial"/>
      <w:snapToGrid/>
      <w:sz w:val="16"/>
      <w:szCs w:val="16"/>
      <w:lang w:val="es-CO" w:eastAsia="es-CO"/>
    </w:rPr>
  </w:style>
  <w:style w:type="paragraph" w:customStyle="1" w:styleId="xl86">
    <w:name w:val="xl86"/>
    <w:basedOn w:val="Normal"/>
    <w:rsid w:val="008222BC"/>
    <w:pPr>
      <w:pBdr>
        <w:top w:val="single" w:sz="4" w:space="0" w:color="auto"/>
        <w:left w:val="single" w:sz="4" w:space="0" w:color="auto"/>
        <w:bottom w:val="single" w:sz="4" w:space="0" w:color="auto"/>
        <w:right w:val="single" w:sz="4" w:space="0" w:color="auto"/>
      </w:pBdr>
      <w:shd w:val="clear" w:color="99CC00" w:fill="C0504D"/>
      <w:spacing w:before="100" w:beforeAutospacing="1" w:after="100" w:afterAutospacing="1"/>
      <w:jc w:val="both"/>
      <w:textAlignment w:val="center"/>
    </w:pPr>
    <w:rPr>
      <w:rFonts w:ascii="Arial" w:hAnsi="Arial" w:cs="Arial"/>
      <w:snapToGrid/>
      <w:sz w:val="16"/>
      <w:szCs w:val="16"/>
      <w:lang w:val="es-CO" w:eastAsia="es-CO"/>
    </w:rPr>
  </w:style>
  <w:style w:type="paragraph" w:styleId="Sinespaciado">
    <w:name w:val="No Spacing"/>
    <w:uiPriority w:val="1"/>
    <w:qFormat/>
    <w:rsid w:val="00023741"/>
    <w:rPr>
      <w:rFonts w:asciiTheme="minorHAnsi" w:eastAsiaTheme="minorHAnsi" w:hAnsiTheme="minorHAnsi" w:cstheme="minorBidi"/>
      <w:sz w:val="22"/>
      <w:szCs w:val="22"/>
      <w:lang w:eastAsia="en-US"/>
    </w:rPr>
  </w:style>
  <w:style w:type="paragraph" w:styleId="TDC1">
    <w:name w:val="toc 1"/>
    <w:basedOn w:val="Normal"/>
    <w:next w:val="Normal"/>
    <w:autoRedefine/>
    <w:uiPriority w:val="39"/>
    <w:rsid w:val="004B1E11"/>
    <w:pPr>
      <w:spacing w:before="120" w:after="120"/>
    </w:pPr>
    <w:rPr>
      <w:rFonts w:asciiTheme="minorHAnsi" w:hAnsiTheme="minorHAnsi" w:cstheme="minorHAnsi"/>
      <w:b/>
      <w:bCs/>
      <w:caps/>
    </w:rPr>
  </w:style>
  <w:style w:type="paragraph" w:styleId="TDC2">
    <w:name w:val="toc 2"/>
    <w:basedOn w:val="Normal"/>
    <w:next w:val="Normal"/>
    <w:autoRedefine/>
    <w:uiPriority w:val="39"/>
    <w:rsid w:val="004B1E11"/>
    <w:pPr>
      <w:ind w:left="200"/>
    </w:pPr>
    <w:rPr>
      <w:rFonts w:asciiTheme="minorHAnsi" w:hAnsiTheme="minorHAnsi" w:cstheme="minorHAnsi"/>
      <w:smallCaps/>
    </w:rPr>
  </w:style>
  <w:style w:type="paragraph" w:styleId="TDC3">
    <w:name w:val="toc 3"/>
    <w:basedOn w:val="Normal"/>
    <w:next w:val="Normal"/>
    <w:autoRedefine/>
    <w:uiPriority w:val="39"/>
    <w:rsid w:val="004B1E11"/>
    <w:pPr>
      <w:ind w:left="400"/>
    </w:pPr>
    <w:rPr>
      <w:rFonts w:asciiTheme="minorHAnsi" w:hAnsiTheme="minorHAnsi" w:cstheme="minorHAnsi"/>
      <w:i/>
      <w:iCs/>
    </w:rPr>
  </w:style>
  <w:style w:type="paragraph" w:styleId="TDC4">
    <w:name w:val="toc 4"/>
    <w:basedOn w:val="Normal"/>
    <w:next w:val="Normal"/>
    <w:autoRedefine/>
    <w:rsid w:val="004B1E11"/>
    <w:pPr>
      <w:ind w:left="600"/>
    </w:pPr>
    <w:rPr>
      <w:rFonts w:asciiTheme="minorHAnsi" w:hAnsiTheme="minorHAnsi" w:cstheme="minorHAnsi"/>
      <w:sz w:val="18"/>
      <w:szCs w:val="18"/>
    </w:rPr>
  </w:style>
  <w:style w:type="paragraph" w:styleId="TDC5">
    <w:name w:val="toc 5"/>
    <w:basedOn w:val="Normal"/>
    <w:next w:val="Normal"/>
    <w:autoRedefine/>
    <w:rsid w:val="004B1E11"/>
    <w:pPr>
      <w:ind w:left="800"/>
    </w:pPr>
    <w:rPr>
      <w:rFonts w:asciiTheme="minorHAnsi" w:hAnsiTheme="minorHAnsi" w:cstheme="minorHAnsi"/>
      <w:sz w:val="18"/>
      <w:szCs w:val="18"/>
    </w:rPr>
  </w:style>
  <w:style w:type="paragraph" w:styleId="TDC6">
    <w:name w:val="toc 6"/>
    <w:basedOn w:val="Normal"/>
    <w:next w:val="Normal"/>
    <w:autoRedefine/>
    <w:rsid w:val="004B1E11"/>
    <w:pPr>
      <w:ind w:left="1000"/>
    </w:pPr>
    <w:rPr>
      <w:rFonts w:asciiTheme="minorHAnsi" w:hAnsiTheme="minorHAnsi" w:cstheme="minorHAnsi"/>
      <w:sz w:val="18"/>
      <w:szCs w:val="18"/>
    </w:rPr>
  </w:style>
  <w:style w:type="paragraph" w:styleId="TDC7">
    <w:name w:val="toc 7"/>
    <w:basedOn w:val="Normal"/>
    <w:next w:val="Normal"/>
    <w:autoRedefine/>
    <w:rsid w:val="004B1E11"/>
    <w:pPr>
      <w:ind w:left="1200"/>
    </w:pPr>
    <w:rPr>
      <w:rFonts w:asciiTheme="minorHAnsi" w:hAnsiTheme="minorHAnsi" w:cstheme="minorHAnsi"/>
      <w:sz w:val="18"/>
      <w:szCs w:val="18"/>
    </w:rPr>
  </w:style>
  <w:style w:type="paragraph" w:styleId="TDC8">
    <w:name w:val="toc 8"/>
    <w:basedOn w:val="Normal"/>
    <w:next w:val="Normal"/>
    <w:autoRedefine/>
    <w:rsid w:val="004B1E11"/>
    <w:pPr>
      <w:ind w:left="1400"/>
    </w:pPr>
    <w:rPr>
      <w:rFonts w:asciiTheme="minorHAnsi" w:hAnsiTheme="minorHAnsi" w:cstheme="minorHAnsi"/>
      <w:sz w:val="18"/>
      <w:szCs w:val="18"/>
    </w:rPr>
  </w:style>
  <w:style w:type="paragraph" w:styleId="TDC9">
    <w:name w:val="toc 9"/>
    <w:basedOn w:val="Normal"/>
    <w:next w:val="Normal"/>
    <w:autoRedefine/>
    <w:rsid w:val="004B1E11"/>
    <w:pPr>
      <w:ind w:left="1600"/>
    </w:pPr>
    <w:rPr>
      <w:rFonts w:asciiTheme="minorHAnsi" w:hAnsiTheme="minorHAnsi" w:cstheme="minorHAnsi"/>
      <w:sz w:val="18"/>
      <w:szCs w:val="18"/>
    </w:rPr>
  </w:style>
  <w:style w:type="character" w:styleId="Textodelmarcadordeposicin">
    <w:name w:val="Placeholder Text"/>
    <w:basedOn w:val="Fuentedeprrafopredeter"/>
    <w:uiPriority w:val="99"/>
    <w:semiHidden/>
    <w:rsid w:val="0028353B"/>
    <w:rPr>
      <w:color w:val="808080"/>
    </w:rPr>
  </w:style>
  <w:style w:type="paragraph" w:styleId="Textoindependiente3">
    <w:name w:val="Body Text 3"/>
    <w:basedOn w:val="Normal"/>
    <w:link w:val="Textoindependiente3Car"/>
    <w:rsid w:val="008A1BA6"/>
    <w:pPr>
      <w:spacing w:after="120"/>
    </w:pPr>
    <w:rPr>
      <w:sz w:val="16"/>
      <w:szCs w:val="16"/>
    </w:rPr>
  </w:style>
  <w:style w:type="character" w:customStyle="1" w:styleId="Textoindependiente3Car">
    <w:name w:val="Texto independiente 3 Car"/>
    <w:basedOn w:val="Fuentedeprrafopredeter"/>
    <w:link w:val="Textoindependiente3"/>
    <w:rsid w:val="008A1BA6"/>
    <w:rPr>
      <w:snapToGrid w:val="0"/>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99"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234"/>
    <w:rPr>
      <w:snapToGrid w:val="0"/>
      <w:lang w:val="es-ES_tradnl" w:eastAsia="es-ES"/>
    </w:rPr>
  </w:style>
  <w:style w:type="paragraph" w:styleId="Ttulo1">
    <w:name w:val="heading 1"/>
    <w:basedOn w:val="Normal"/>
    <w:next w:val="Normal"/>
    <w:link w:val="Ttulo1Car"/>
    <w:qFormat/>
    <w:rsid w:val="00DC213F"/>
    <w:pPr>
      <w:keepNext/>
      <w:tabs>
        <w:tab w:val="left" w:pos="-720"/>
        <w:tab w:val="left" w:pos="0"/>
        <w:tab w:val="left" w:pos="720"/>
      </w:tabs>
      <w:suppressAutoHyphens/>
      <w:spacing w:before="120"/>
      <w:ind w:left="1440" w:hanging="22"/>
      <w:jc w:val="both"/>
      <w:outlineLvl w:val="0"/>
    </w:pPr>
    <w:rPr>
      <w:rFonts w:ascii="Arial" w:hAnsi="Arial"/>
      <w:b/>
      <w:spacing w:val="3"/>
      <w:sz w:val="16"/>
    </w:rPr>
  </w:style>
  <w:style w:type="paragraph" w:styleId="Ttulo2">
    <w:name w:val="heading 2"/>
    <w:basedOn w:val="Normal"/>
    <w:next w:val="Normal"/>
    <w:link w:val="Ttulo2Car"/>
    <w:qFormat/>
    <w:rsid w:val="00DC213F"/>
    <w:pPr>
      <w:keepNext/>
      <w:tabs>
        <w:tab w:val="left" w:pos="-720"/>
      </w:tabs>
      <w:suppressAutoHyphens/>
      <w:spacing w:before="120"/>
      <w:ind w:left="1418"/>
      <w:jc w:val="both"/>
      <w:outlineLvl w:val="1"/>
    </w:pPr>
    <w:rPr>
      <w:rFonts w:ascii="Arial" w:hAnsi="Arial"/>
      <w:b/>
      <w:spacing w:val="3"/>
      <w:sz w:val="16"/>
    </w:rPr>
  </w:style>
  <w:style w:type="paragraph" w:styleId="Ttulo3">
    <w:name w:val="heading 3"/>
    <w:basedOn w:val="Normal"/>
    <w:next w:val="Normal"/>
    <w:link w:val="Ttulo3Car"/>
    <w:qFormat/>
    <w:rsid w:val="00DC213F"/>
    <w:pPr>
      <w:keepNext/>
      <w:tabs>
        <w:tab w:val="left" w:pos="-720"/>
        <w:tab w:val="left" w:pos="0"/>
        <w:tab w:val="left" w:pos="720"/>
      </w:tabs>
      <w:suppressAutoHyphens/>
      <w:spacing w:before="120"/>
      <w:jc w:val="both"/>
      <w:outlineLvl w:val="2"/>
    </w:pPr>
    <w:rPr>
      <w:rFonts w:ascii="Arial" w:hAnsi="Arial"/>
      <w:b/>
      <w:spacing w:val="3"/>
      <w:sz w:val="16"/>
      <w:lang w:val="es-CO"/>
    </w:rPr>
  </w:style>
  <w:style w:type="paragraph" w:styleId="Ttulo4">
    <w:name w:val="heading 4"/>
    <w:basedOn w:val="Normal"/>
    <w:next w:val="Normal"/>
    <w:link w:val="Ttulo4Car"/>
    <w:qFormat/>
    <w:rsid w:val="00DC213F"/>
    <w:pPr>
      <w:keepNext/>
      <w:spacing w:before="120"/>
      <w:ind w:left="1440"/>
      <w:jc w:val="both"/>
      <w:outlineLvl w:val="3"/>
    </w:pPr>
    <w:rPr>
      <w:rFonts w:ascii="Arial" w:hAnsi="Arial"/>
      <w:b/>
      <w:spacing w:val="3"/>
      <w:sz w:val="16"/>
    </w:rPr>
  </w:style>
  <w:style w:type="paragraph" w:styleId="Ttulo5">
    <w:name w:val="heading 5"/>
    <w:basedOn w:val="Normal"/>
    <w:next w:val="Normal"/>
    <w:link w:val="Ttulo5Car"/>
    <w:qFormat/>
    <w:rsid w:val="00DC213F"/>
    <w:pPr>
      <w:keepNext/>
      <w:tabs>
        <w:tab w:val="left" w:pos="-720"/>
        <w:tab w:val="left" w:pos="0"/>
        <w:tab w:val="left" w:pos="720"/>
      </w:tabs>
      <w:suppressAutoHyphens/>
      <w:spacing w:before="120"/>
      <w:ind w:firstLine="1418"/>
      <w:jc w:val="both"/>
      <w:outlineLvl w:val="4"/>
    </w:pPr>
    <w:rPr>
      <w:rFonts w:ascii="Arial" w:hAnsi="Arial"/>
      <w:b/>
      <w:spacing w:val="3"/>
      <w:sz w:val="1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22BC"/>
    <w:rPr>
      <w:rFonts w:ascii="Arial" w:hAnsi="Arial"/>
      <w:b/>
      <w:snapToGrid w:val="0"/>
      <w:spacing w:val="3"/>
      <w:sz w:val="16"/>
      <w:lang w:val="es-ES_tradnl" w:eastAsia="es-ES"/>
    </w:rPr>
  </w:style>
  <w:style w:type="character" w:customStyle="1" w:styleId="Ttulo2Car">
    <w:name w:val="Título 2 Car"/>
    <w:basedOn w:val="Fuentedeprrafopredeter"/>
    <w:link w:val="Ttulo2"/>
    <w:rsid w:val="008222BC"/>
    <w:rPr>
      <w:rFonts w:ascii="Arial" w:hAnsi="Arial"/>
      <w:b/>
      <w:snapToGrid w:val="0"/>
      <w:spacing w:val="3"/>
      <w:sz w:val="16"/>
      <w:lang w:val="es-ES_tradnl" w:eastAsia="es-ES"/>
    </w:rPr>
  </w:style>
  <w:style w:type="character" w:customStyle="1" w:styleId="Ttulo3Car">
    <w:name w:val="Título 3 Car"/>
    <w:basedOn w:val="Fuentedeprrafopredeter"/>
    <w:link w:val="Ttulo3"/>
    <w:rsid w:val="008222BC"/>
    <w:rPr>
      <w:rFonts w:ascii="Arial" w:hAnsi="Arial"/>
      <w:b/>
      <w:snapToGrid w:val="0"/>
      <w:spacing w:val="3"/>
      <w:sz w:val="16"/>
      <w:lang w:eastAsia="es-ES"/>
    </w:rPr>
  </w:style>
  <w:style w:type="character" w:customStyle="1" w:styleId="Ttulo4Car">
    <w:name w:val="Título 4 Car"/>
    <w:basedOn w:val="Fuentedeprrafopredeter"/>
    <w:link w:val="Ttulo4"/>
    <w:rsid w:val="008222BC"/>
    <w:rPr>
      <w:rFonts w:ascii="Arial" w:hAnsi="Arial"/>
      <w:b/>
      <w:snapToGrid w:val="0"/>
      <w:spacing w:val="3"/>
      <w:sz w:val="16"/>
      <w:lang w:val="es-ES_tradnl" w:eastAsia="es-ES"/>
    </w:rPr>
  </w:style>
  <w:style w:type="character" w:customStyle="1" w:styleId="Ttulo5Car">
    <w:name w:val="Título 5 Car"/>
    <w:basedOn w:val="Fuentedeprrafopredeter"/>
    <w:link w:val="Ttulo5"/>
    <w:rsid w:val="008222BC"/>
    <w:rPr>
      <w:rFonts w:ascii="Arial" w:hAnsi="Arial"/>
      <w:b/>
      <w:snapToGrid w:val="0"/>
      <w:spacing w:val="3"/>
      <w:sz w:val="16"/>
      <w:lang w:eastAsia="es-ES"/>
    </w:rPr>
  </w:style>
  <w:style w:type="paragraph" w:styleId="Encabezado">
    <w:name w:val="header"/>
    <w:basedOn w:val="Normal"/>
    <w:link w:val="EncabezadoCar"/>
    <w:rsid w:val="00DC213F"/>
    <w:pPr>
      <w:tabs>
        <w:tab w:val="center" w:pos="4252"/>
        <w:tab w:val="right" w:pos="8504"/>
      </w:tabs>
    </w:pPr>
  </w:style>
  <w:style w:type="character" w:customStyle="1" w:styleId="EncabezadoCar">
    <w:name w:val="Encabezado Car"/>
    <w:basedOn w:val="Fuentedeprrafopredeter"/>
    <w:link w:val="Encabezado"/>
    <w:rsid w:val="008222BC"/>
    <w:rPr>
      <w:snapToGrid w:val="0"/>
      <w:lang w:val="es-ES_tradnl" w:eastAsia="es-ES"/>
    </w:rPr>
  </w:style>
  <w:style w:type="paragraph" w:styleId="Piedepgina">
    <w:name w:val="footer"/>
    <w:basedOn w:val="Normal"/>
    <w:link w:val="PiedepginaCar"/>
    <w:rsid w:val="00DC213F"/>
    <w:pPr>
      <w:tabs>
        <w:tab w:val="center" w:pos="4252"/>
        <w:tab w:val="right" w:pos="8504"/>
      </w:tabs>
    </w:pPr>
  </w:style>
  <w:style w:type="character" w:customStyle="1" w:styleId="PiedepginaCar">
    <w:name w:val="Pie de página Car"/>
    <w:basedOn w:val="Fuentedeprrafopredeter"/>
    <w:link w:val="Piedepgina"/>
    <w:rsid w:val="008222BC"/>
    <w:rPr>
      <w:snapToGrid w:val="0"/>
      <w:lang w:val="es-ES_tradnl" w:eastAsia="es-ES"/>
    </w:rPr>
  </w:style>
  <w:style w:type="character" w:styleId="Nmerodepgina">
    <w:name w:val="page number"/>
    <w:basedOn w:val="Fuentedeprrafopredeter"/>
    <w:rsid w:val="00DC213F"/>
  </w:style>
  <w:style w:type="character" w:customStyle="1" w:styleId="Fuentedeencabezadopredeter">
    <w:name w:val="Fuente de encabezado predeter."/>
    <w:rsid w:val="00DC213F"/>
  </w:style>
  <w:style w:type="character" w:customStyle="1" w:styleId="Documento4">
    <w:name w:val="Documento 4"/>
    <w:basedOn w:val="Fuentedeencabezadopredeter"/>
    <w:rsid w:val="00DC213F"/>
    <w:rPr>
      <w:b/>
      <w:i/>
      <w:sz w:val="24"/>
    </w:rPr>
  </w:style>
  <w:style w:type="character" w:customStyle="1" w:styleId="Bibliogr">
    <w:name w:val="Bibliogr."/>
    <w:basedOn w:val="Fuentedeencabezadopredeter"/>
    <w:rsid w:val="00DC213F"/>
  </w:style>
  <w:style w:type="character" w:customStyle="1" w:styleId="Documento5">
    <w:name w:val="Documento 5"/>
    <w:basedOn w:val="Fuentedeencabezadopredeter"/>
    <w:rsid w:val="00DC213F"/>
  </w:style>
  <w:style w:type="character" w:customStyle="1" w:styleId="Documento2">
    <w:name w:val="Documento 2"/>
    <w:basedOn w:val="Fuentedeencabezadopredeter"/>
    <w:rsid w:val="00DC213F"/>
    <w:rPr>
      <w:rFonts w:ascii="Courier" w:hAnsi="Courier"/>
      <w:noProof w:val="0"/>
      <w:sz w:val="24"/>
      <w:lang w:val="en-US"/>
    </w:rPr>
  </w:style>
  <w:style w:type="character" w:customStyle="1" w:styleId="Documento6">
    <w:name w:val="Documento 6"/>
    <w:basedOn w:val="Fuentedeencabezadopredeter"/>
    <w:rsid w:val="00DC213F"/>
  </w:style>
  <w:style w:type="character" w:customStyle="1" w:styleId="Documento7">
    <w:name w:val="Documento 7"/>
    <w:basedOn w:val="Fuentedeencabezadopredeter"/>
    <w:rsid w:val="00DC213F"/>
  </w:style>
  <w:style w:type="character" w:customStyle="1" w:styleId="Documento8">
    <w:name w:val="Documento 8"/>
    <w:basedOn w:val="Fuentedeencabezadopredeter"/>
    <w:rsid w:val="00DC213F"/>
  </w:style>
  <w:style w:type="character" w:customStyle="1" w:styleId="Documento3">
    <w:name w:val="Documento 3"/>
    <w:basedOn w:val="Fuentedeencabezadopredeter"/>
    <w:rsid w:val="00DC213F"/>
    <w:rPr>
      <w:rFonts w:ascii="Courier" w:hAnsi="Courier"/>
      <w:noProof w:val="0"/>
      <w:sz w:val="24"/>
      <w:lang w:val="en-US"/>
    </w:rPr>
  </w:style>
  <w:style w:type="paragraph" w:customStyle="1" w:styleId="Prder1">
    <w:name w:val="PÀÀr. der. 1"/>
    <w:rsid w:val="00DC213F"/>
    <w:pPr>
      <w:tabs>
        <w:tab w:val="left" w:pos="-720"/>
        <w:tab w:val="left" w:pos="0"/>
        <w:tab w:val="decimal" w:pos="720"/>
      </w:tabs>
      <w:suppressAutoHyphens/>
      <w:ind w:left="720" w:hanging="208"/>
    </w:pPr>
    <w:rPr>
      <w:rFonts w:ascii="Courier" w:hAnsi="Courier"/>
      <w:snapToGrid w:val="0"/>
      <w:sz w:val="24"/>
      <w:lang w:val="en-US" w:eastAsia="es-ES"/>
    </w:rPr>
  </w:style>
  <w:style w:type="paragraph" w:customStyle="1" w:styleId="Prder2">
    <w:name w:val="PÀÀr. der. 2"/>
    <w:rsid w:val="00DC213F"/>
    <w:pPr>
      <w:tabs>
        <w:tab w:val="left" w:pos="-720"/>
        <w:tab w:val="left" w:pos="0"/>
        <w:tab w:val="left" w:pos="720"/>
        <w:tab w:val="decimal" w:pos="1440"/>
      </w:tabs>
      <w:suppressAutoHyphens/>
      <w:ind w:left="1440" w:hanging="294"/>
    </w:pPr>
    <w:rPr>
      <w:rFonts w:ascii="Courier" w:hAnsi="Courier"/>
      <w:snapToGrid w:val="0"/>
      <w:sz w:val="24"/>
      <w:lang w:val="en-US" w:eastAsia="es-ES"/>
    </w:rPr>
  </w:style>
  <w:style w:type="paragraph" w:customStyle="1" w:styleId="Prder3">
    <w:name w:val="PÀÀr. der. 3"/>
    <w:rsid w:val="00DC213F"/>
    <w:pPr>
      <w:tabs>
        <w:tab w:val="left" w:pos="-720"/>
        <w:tab w:val="left" w:pos="0"/>
        <w:tab w:val="left" w:pos="720"/>
        <w:tab w:val="left" w:pos="1440"/>
        <w:tab w:val="decimal" w:pos="2160"/>
      </w:tabs>
      <w:suppressAutoHyphens/>
      <w:ind w:left="2160" w:hanging="236"/>
    </w:pPr>
    <w:rPr>
      <w:rFonts w:ascii="Courier" w:hAnsi="Courier"/>
      <w:snapToGrid w:val="0"/>
      <w:sz w:val="24"/>
      <w:lang w:val="en-US" w:eastAsia="es-ES"/>
    </w:rPr>
  </w:style>
  <w:style w:type="paragraph" w:customStyle="1" w:styleId="Prder4">
    <w:name w:val="PÀÀr. der. 4"/>
    <w:rsid w:val="00DC213F"/>
    <w:pPr>
      <w:tabs>
        <w:tab w:val="left" w:pos="-720"/>
        <w:tab w:val="left" w:pos="0"/>
        <w:tab w:val="left" w:pos="720"/>
        <w:tab w:val="left" w:pos="1440"/>
        <w:tab w:val="left" w:pos="2160"/>
        <w:tab w:val="decimal" w:pos="2880"/>
      </w:tabs>
      <w:suppressAutoHyphens/>
      <w:ind w:left="2880" w:hanging="236"/>
    </w:pPr>
    <w:rPr>
      <w:rFonts w:ascii="Courier" w:hAnsi="Courier"/>
      <w:snapToGrid w:val="0"/>
      <w:sz w:val="24"/>
      <w:lang w:val="en-US" w:eastAsia="es-ES"/>
    </w:rPr>
  </w:style>
  <w:style w:type="paragraph" w:customStyle="1" w:styleId="Documento1">
    <w:name w:val="Documento 1"/>
    <w:rsid w:val="00DC213F"/>
    <w:pPr>
      <w:keepNext/>
      <w:keepLines/>
      <w:tabs>
        <w:tab w:val="left" w:pos="-720"/>
      </w:tabs>
      <w:suppressAutoHyphens/>
    </w:pPr>
    <w:rPr>
      <w:rFonts w:ascii="Courier" w:hAnsi="Courier"/>
      <w:snapToGrid w:val="0"/>
      <w:sz w:val="24"/>
      <w:lang w:val="en-US" w:eastAsia="es-ES"/>
    </w:rPr>
  </w:style>
  <w:style w:type="paragraph" w:customStyle="1" w:styleId="Prder5">
    <w:name w:val="PÀÀr. der. 5"/>
    <w:rsid w:val="00DC213F"/>
    <w:pPr>
      <w:tabs>
        <w:tab w:val="left" w:pos="-720"/>
        <w:tab w:val="left" w:pos="0"/>
        <w:tab w:val="left" w:pos="720"/>
        <w:tab w:val="left" w:pos="1440"/>
        <w:tab w:val="left" w:pos="2160"/>
        <w:tab w:val="left" w:pos="2880"/>
        <w:tab w:val="decimal" w:pos="3600"/>
      </w:tabs>
      <w:suppressAutoHyphens/>
      <w:ind w:left="3600" w:hanging="356"/>
    </w:pPr>
    <w:rPr>
      <w:rFonts w:ascii="Courier" w:hAnsi="Courier"/>
      <w:snapToGrid w:val="0"/>
      <w:sz w:val="24"/>
      <w:lang w:val="en-US" w:eastAsia="es-ES"/>
    </w:rPr>
  </w:style>
  <w:style w:type="paragraph" w:customStyle="1" w:styleId="Prder6">
    <w:name w:val="PÀÀr. der. 6"/>
    <w:rsid w:val="00DC213F"/>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napToGrid w:val="0"/>
      <w:sz w:val="24"/>
      <w:lang w:val="en-US" w:eastAsia="es-ES"/>
    </w:rPr>
  </w:style>
  <w:style w:type="paragraph" w:customStyle="1" w:styleId="Prder7">
    <w:name w:val="PÀÀr. der. 7"/>
    <w:rsid w:val="00DC213F"/>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napToGrid w:val="0"/>
      <w:sz w:val="24"/>
      <w:lang w:val="en-US" w:eastAsia="es-ES"/>
    </w:rPr>
  </w:style>
  <w:style w:type="paragraph" w:customStyle="1" w:styleId="Prder8">
    <w:name w:val="PÀÀr. der. 8"/>
    <w:rsid w:val="00DC213F"/>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napToGrid w:val="0"/>
      <w:sz w:val="24"/>
      <w:lang w:val="en-US" w:eastAsia="es-ES"/>
    </w:rPr>
  </w:style>
  <w:style w:type="character" w:customStyle="1" w:styleId="Tcnico2">
    <w:name w:val="TÀ)Àcnico 2"/>
    <w:basedOn w:val="Fuentedeencabezadopredeter"/>
    <w:rsid w:val="00DC213F"/>
    <w:rPr>
      <w:rFonts w:ascii="Courier" w:hAnsi="Courier"/>
      <w:noProof w:val="0"/>
      <w:sz w:val="24"/>
      <w:lang w:val="en-US"/>
    </w:rPr>
  </w:style>
  <w:style w:type="character" w:customStyle="1" w:styleId="Tcnico3">
    <w:name w:val="TÀ)Àcnico 3"/>
    <w:basedOn w:val="Fuentedeencabezadopredeter"/>
    <w:rsid w:val="00DC213F"/>
    <w:rPr>
      <w:rFonts w:ascii="Courier" w:hAnsi="Courier"/>
      <w:noProof w:val="0"/>
      <w:sz w:val="24"/>
      <w:lang w:val="en-US"/>
    </w:rPr>
  </w:style>
  <w:style w:type="paragraph" w:customStyle="1" w:styleId="Tcnico4">
    <w:name w:val="TÀ)Àcnico 4"/>
    <w:rsid w:val="00DC213F"/>
    <w:pPr>
      <w:tabs>
        <w:tab w:val="left" w:pos="-720"/>
      </w:tabs>
      <w:suppressAutoHyphens/>
    </w:pPr>
    <w:rPr>
      <w:rFonts w:ascii="Courier" w:hAnsi="Courier"/>
      <w:b/>
      <w:snapToGrid w:val="0"/>
      <w:sz w:val="24"/>
      <w:lang w:val="en-US" w:eastAsia="es-ES"/>
    </w:rPr>
  </w:style>
  <w:style w:type="character" w:customStyle="1" w:styleId="Tcnico1">
    <w:name w:val="TÀ)Àcnico 1"/>
    <w:basedOn w:val="Fuentedeencabezadopredeter"/>
    <w:rsid w:val="00DC213F"/>
    <w:rPr>
      <w:rFonts w:ascii="Courier" w:hAnsi="Courier"/>
      <w:noProof w:val="0"/>
      <w:sz w:val="24"/>
      <w:lang w:val="en-US"/>
    </w:rPr>
  </w:style>
  <w:style w:type="character" w:customStyle="1" w:styleId="Inicdoc">
    <w:name w:val="Inic. doc."/>
    <w:basedOn w:val="Fuentedeencabezadopredeter"/>
    <w:rsid w:val="00DC213F"/>
  </w:style>
  <w:style w:type="paragraph" w:customStyle="1" w:styleId="Tcnico5">
    <w:name w:val="TÀ)Àcnico 5"/>
    <w:rsid w:val="00DC213F"/>
    <w:pPr>
      <w:tabs>
        <w:tab w:val="left" w:pos="-720"/>
      </w:tabs>
      <w:suppressAutoHyphens/>
      <w:ind w:firstLine="720"/>
    </w:pPr>
    <w:rPr>
      <w:rFonts w:ascii="Courier" w:hAnsi="Courier"/>
      <w:b/>
      <w:snapToGrid w:val="0"/>
      <w:sz w:val="24"/>
      <w:lang w:val="en-US" w:eastAsia="es-ES"/>
    </w:rPr>
  </w:style>
  <w:style w:type="paragraph" w:customStyle="1" w:styleId="Tcnico6">
    <w:name w:val="TÀ)Àcnico 6"/>
    <w:rsid w:val="00DC213F"/>
    <w:pPr>
      <w:tabs>
        <w:tab w:val="left" w:pos="-720"/>
      </w:tabs>
      <w:suppressAutoHyphens/>
      <w:ind w:firstLine="720"/>
    </w:pPr>
    <w:rPr>
      <w:rFonts w:ascii="Courier" w:hAnsi="Courier"/>
      <w:b/>
      <w:snapToGrid w:val="0"/>
      <w:sz w:val="24"/>
      <w:lang w:val="en-US" w:eastAsia="es-ES"/>
    </w:rPr>
  </w:style>
  <w:style w:type="paragraph" w:customStyle="1" w:styleId="Tcnico7">
    <w:name w:val="TÀ)Àcnico 7"/>
    <w:rsid w:val="00DC213F"/>
    <w:pPr>
      <w:tabs>
        <w:tab w:val="left" w:pos="-720"/>
      </w:tabs>
      <w:suppressAutoHyphens/>
      <w:ind w:firstLine="720"/>
    </w:pPr>
    <w:rPr>
      <w:rFonts w:ascii="Courier" w:hAnsi="Courier"/>
      <w:b/>
      <w:snapToGrid w:val="0"/>
      <w:sz w:val="24"/>
      <w:lang w:val="en-US" w:eastAsia="es-ES"/>
    </w:rPr>
  </w:style>
  <w:style w:type="paragraph" w:customStyle="1" w:styleId="Tcnico8">
    <w:name w:val="TÀ)Àcnico 8"/>
    <w:rsid w:val="00DC213F"/>
    <w:pPr>
      <w:tabs>
        <w:tab w:val="left" w:pos="-720"/>
      </w:tabs>
      <w:suppressAutoHyphens/>
      <w:ind w:firstLine="720"/>
    </w:pPr>
    <w:rPr>
      <w:rFonts w:ascii="Courier" w:hAnsi="Courier"/>
      <w:b/>
      <w:snapToGrid w:val="0"/>
      <w:sz w:val="24"/>
      <w:lang w:val="en-US" w:eastAsia="es-ES"/>
    </w:rPr>
  </w:style>
  <w:style w:type="character" w:customStyle="1" w:styleId="Inicestt">
    <w:name w:val="Inic. est. t"/>
    <w:basedOn w:val="Fuentedeencabezadopredeter"/>
    <w:rsid w:val="00DC213F"/>
    <w:rPr>
      <w:rFonts w:ascii="Courier" w:hAnsi="Courier"/>
      <w:noProof w:val="0"/>
      <w:sz w:val="24"/>
      <w:lang w:val="en-US"/>
    </w:rPr>
  </w:style>
  <w:style w:type="paragraph" w:customStyle="1" w:styleId="Escrlegal">
    <w:name w:val="Escr. legal"/>
    <w:rsid w:val="00DC213F"/>
    <w:pPr>
      <w:tabs>
        <w:tab w:val="left" w:pos="-720"/>
      </w:tabs>
      <w:suppressAutoHyphens/>
      <w:spacing w:line="240" w:lineRule="exact"/>
    </w:pPr>
    <w:rPr>
      <w:rFonts w:ascii="Courier" w:hAnsi="Courier"/>
      <w:snapToGrid w:val="0"/>
      <w:sz w:val="24"/>
      <w:lang w:val="en-US" w:eastAsia="es-ES"/>
    </w:rPr>
  </w:style>
  <w:style w:type="character" w:customStyle="1" w:styleId="DefaultParagraphFo">
    <w:name w:val="Default Paragraph Fo"/>
    <w:basedOn w:val="Fuentedeencabezadopredeter"/>
    <w:rsid w:val="00DC213F"/>
  </w:style>
  <w:style w:type="character" w:customStyle="1" w:styleId="Fuentedeencabezado">
    <w:name w:val="Fuente de encabezado"/>
    <w:basedOn w:val="Fuentedeencabezadopredeter"/>
    <w:rsid w:val="00DC213F"/>
  </w:style>
  <w:style w:type="character" w:customStyle="1" w:styleId="Documento4a">
    <w:name w:val="Documento 4a"/>
    <w:basedOn w:val="Fuentedeencabezadopredeter"/>
    <w:rsid w:val="00DC213F"/>
    <w:rPr>
      <w:b/>
      <w:i/>
      <w:sz w:val="24"/>
    </w:rPr>
  </w:style>
  <w:style w:type="character" w:customStyle="1" w:styleId="Documento5a">
    <w:name w:val="Documento 5a"/>
    <w:basedOn w:val="Fuentedeencabezadopredeter"/>
    <w:rsid w:val="00DC213F"/>
  </w:style>
  <w:style w:type="character" w:customStyle="1" w:styleId="Documento2a">
    <w:name w:val="Documento 2a"/>
    <w:basedOn w:val="Fuentedeencabezadopredeter"/>
    <w:rsid w:val="00DC213F"/>
  </w:style>
  <w:style w:type="character" w:customStyle="1" w:styleId="Documento6a">
    <w:name w:val="Documento 6a"/>
    <w:basedOn w:val="Fuentedeencabezadopredeter"/>
    <w:rsid w:val="00DC213F"/>
  </w:style>
  <w:style w:type="character" w:customStyle="1" w:styleId="Documento7a">
    <w:name w:val="Documento 7a"/>
    <w:basedOn w:val="Fuentedeencabezadopredeter"/>
    <w:rsid w:val="00DC213F"/>
  </w:style>
  <w:style w:type="character" w:customStyle="1" w:styleId="Documento8a">
    <w:name w:val="Documento 8a"/>
    <w:basedOn w:val="Fuentedeencabezadopredeter"/>
    <w:rsid w:val="00DC213F"/>
  </w:style>
  <w:style w:type="character" w:customStyle="1" w:styleId="Documento3a">
    <w:name w:val="Documento 3a"/>
    <w:basedOn w:val="Fuentedeencabezadopredeter"/>
    <w:rsid w:val="00DC213F"/>
  </w:style>
  <w:style w:type="paragraph" w:customStyle="1" w:styleId="Prder1a">
    <w:name w:val="PÀÀr. der. 1a"/>
    <w:rsid w:val="00DC213F"/>
    <w:pPr>
      <w:tabs>
        <w:tab w:val="left" w:pos="-1026"/>
        <w:tab w:val="left" w:pos="-306"/>
        <w:tab w:val="left" w:pos="205"/>
        <w:tab w:val="decimal"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paragraph" w:customStyle="1" w:styleId="Prder2a">
    <w:name w:val="PÀÀr. der. 2a"/>
    <w:rsid w:val="00DC213F"/>
    <w:pPr>
      <w:tabs>
        <w:tab w:val="left" w:pos="-1026"/>
        <w:tab w:val="left" w:pos="-306"/>
        <w:tab w:val="left" w:pos="414"/>
        <w:tab w:val="left" w:pos="840"/>
        <w:tab w:val="decimal"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paragraph" w:customStyle="1" w:styleId="Prder3a">
    <w:name w:val="PÀÀr. der. 3a"/>
    <w:rsid w:val="00DC213F"/>
    <w:pPr>
      <w:tabs>
        <w:tab w:val="left" w:pos="-1026"/>
        <w:tab w:val="left" w:pos="-306"/>
        <w:tab w:val="left" w:pos="414"/>
        <w:tab w:val="left" w:pos="1134"/>
        <w:tab w:val="left" w:pos="1618"/>
        <w:tab w:val="decimal"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paragraph" w:customStyle="1" w:styleId="Prder4a">
    <w:name w:val="PÀÀr. der. 4a"/>
    <w:rsid w:val="00DC213F"/>
    <w:pPr>
      <w:tabs>
        <w:tab w:val="left" w:pos="-1026"/>
        <w:tab w:val="left" w:pos="-306"/>
        <w:tab w:val="left" w:pos="414"/>
        <w:tab w:val="left" w:pos="1134"/>
        <w:tab w:val="left" w:pos="1854"/>
        <w:tab w:val="left" w:pos="2338"/>
        <w:tab w:val="decimal"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paragraph" w:customStyle="1" w:styleId="Documento1a">
    <w:name w:val="Documento 1a"/>
    <w:rsid w:val="00DC213F"/>
    <w:pPr>
      <w:keepNext/>
      <w:keepLines/>
      <w:tabs>
        <w:tab w:val="left" w:pos="-1026"/>
        <w:tab w:val="left" w:pos="-306"/>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paragraph" w:customStyle="1" w:styleId="Prder5a">
    <w:name w:val="PÀÀr. der. 5a"/>
    <w:rsid w:val="00DC213F"/>
    <w:pPr>
      <w:tabs>
        <w:tab w:val="left" w:pos="-1026"/>
        <w:tab w:val="left" w:pos="-306"/>
        <w:tab w:val="left" w:pos="414"/>
        <w:tab w:val="left" w:pos="1134"/>
        <w:tab w:val="left" w:pos="1854"/>
        <w:tab w:val="left" w:pos="2574"/>
        <w:tab w:val="left" w:pos="2938"/>
        <w:tab w:val="decimal"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paragraph" w:customStyle="1" w:styleId="Prder6a">
    <w:name w:val="PÀÀr. der. 6a"/>
    <w:rsid w:val="00DC213F"/>
    <w:pPr>
      <w:tabs>
        <w:tab w:val="left" w:pos="-1026"/>
        <w:tab w:val="left" w:pos="-306"/>
        <w:tab w:val="left" w:pos="414"/>
        <w:tab w:val="left" w:pos="1134"/>
        <w:tab w:val="left" w:pos="1854"/>
        <w:tab w:val="left" w:pos="2574"/>
        <w:tab w:val="left" w:pos="3294"/>
        <w:tab w:val="left" w:pos="3658"/>
        <w:tab w:val="decimal" w:pos="4014"/>
        <w:tab w:val="left" w:pos="4734"/>
        <w:tab w:val="left"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paragraph" w:customStyle="1" w:styleId="Prder7a">
    <w:name w:val="PÀÀr. der. 7a"/>
    <w:rsid w:val="00DC213F"/>
    <w:pPr>
      <w:tabs>
        <w:tab w:val="left" w:pos="-1026"/>
        <w:tab w:val="left" w:pos="-306"/>
        <w:tab w:val="left" w:pos="414"/>
        <w:tab w:val="left" w:pos="1134"/>
        <w:tab w:val="left" w:pos="1854"/>
        <w:tab w:val="left" w:pos="2574"/>
        <w:tab w:val="left" w:pos="3294"/>
        <w:tab w:val="left" w:pos="4014"/>
        <w:tab w:val="left" w:pos="4512"/>
        <w:tab w:val="decimal" w:pos="4734"/>
        <w:tab w:val="left"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paragraph" w:customStyle="1" w:styleId="Prder8a">
    <w:name w:val="PÀÀr. der. 8a"/>
    <w:rsid w:val="00DC213F"/>
    <w:pPr>
      <w:tabs>
        <w:tab w:val="left" w:pos="-1026"/>
        <w:tab w:val="left" w:pos="-306"/>
        <w:tab w:val="left" w:pos="414"/>
        <w:tab w:val="left" w:pos="1134"/>
        <w:tab w:val="left" w:pos="1854"/>
        <w:tab w:val="left" w:pos="2574"/>
        <w:tab w:val="left" w:pos="3294"/>
        <w:tab w:val="left" w:pos="4014"/>
        <w:tab w:val="left" w:pos="4734"/>
        <w:tab w:val="left" w:pos="5184"/>
        <w:tab w:val="decimal" w:pos="5454"/>
        <w:tab w:val="left" w:pos="6174"/>
        <w:tab w:val="left" w:pos="6894"/>
        <w:tab w:val="left" w:pos="7614"/>
        <w:tab w:val="left" w:pos="8334"/>
        <w:tab w:val="left" w:pos="9054"/>
        <w:tab w:val="left" w:pos="9774"/>
      </w:tabs>
      <w:suppressAutoHyphens/>
    </w:pPr>
    <w:rPr>
      <w:rFonts w:ascii="Courier" w:hAnsi="Courier"/>
      <w:snapToGrid w:val="0"/>
      <w:sz w:val="24"/>
      <w:lang w:val="en-US" w:eastAsia="es-ES"/>
    </w:rPr>
  </w:style>
  <w:style w:type="character" w:customStyle="1" w:styleId="Tcnico2a">
    <w:name w:val="TÀ)Àcnico 2a"/>
    <w:basedOn w:val="Fuentedeencabezadopredeter"/>
    <w:rsid w:val="00DC213F"/>
  </w:style>
  <w:style w:type="character" w:customStyle="1" w:styleId="Tcnico3a">
    <w:name w:val="TÀ)Àcnico 3a"/>
    <w:basedOn w:val="Fuentedeencabezadopredeter"/>
    <w:rsid w:val="00DC213F"/>
  </w:style>
  <w:style w:type="paragraph" w:customStyle="1" w:styleId="Tcnico4a">
    <w:name w:val="TÀ)Àcnico 4a"/>
    <w:rsid w:val="00DC213F"/>
    <w:pPr>
      <w:tabs>
        <w:tab w:val="left" w:pos="-1026"/>
        <w:tab w:val="left" w:pos="-306"/>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b/>
      <w:snapToGrid w:val="0"/>
      <w:sz w:val="24"/>
      <w:lang w:val="en-US" w:eastAsia="es-ES"/>
    </w:rPr>
  </w:style>
  <w:style w:type="character" w:customStyle="1" w:styleId="Tcnico1a">
    <w:name w:val="TÀ)Àcnico 1a"/>
    <w:basedOn w:val="Fuentedeencabezadopredeter"/>
    <w:rsid w:val="00DC213F"/>
  </w:style>
  <w:style w:type="paragraph" w:customStyle="1" w:styleId="Tcnico5a">
    <w:name w:val="TÀ)Àcnico 5a"/>
    <w:rsid w:val="00DC213F"/>
    <w:pPr>
      <w:tabs>
        <w:tab w:val="left" w:pos="-1026"/>
        <w:tab w:val="left" w:pos="-306"/>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b/>
      <w:snapToGrid w:val="0"/>
      <w:sz w:val="24"/>
      <w:lang w:val="en-US" w:eastAsia="es-ES"/>
    </w:rPr>
  </w:style>
  <w:style w:type="paragraph" w:customStyle="1" w:styleId="Tcnico6a">
    <w:name w:val="TÀ)Àcnico 6a"/>
    <w:rsid w:val="00DC213F"/>
    <w:pPr>
      <w:tabs>
        <w:tab w:val="left" w:pos="-1026"/>
        <w:tab w:val="left" w:pos="-306"/>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b/>
      <w:snapToGrid w:val="0"/>
      <w:sz w:val="24"/>
      <w:lang w:val="en-US" w:eastAsia="es-ES"/>
    </w:rPr>
  </w:style>
  <w:style w:type="paragraph" w:customStyle="1" w:styleId="Tcnico7a">
    <w:name w:val="TÀ)Àcnico 7a"/>
    <w:rsid w:val="00DC213F"/>
    <w:pPr>
      <w:tabs>
        <w:tab w:val="left" w:pos="-1026"/>
        <w:tab w:val="left" w:pos="-306"/>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b/>
      <w:snapToGrid w:val="0"/>
      <w:sz w:val="24"/>
      <w:lang w:val="en-US" w:eastAsia="es-ES"/>
    </w:rPr>
  </w:style>
  <w:style w:type="paragraph" w:customStyle="1" w:styleId="Tcnico8a">
    <w:name w:val="TÀ)Àcnico 8a"/>
    <w:rsid w:val="00DC213F"/>
    <w:pPr>
      <w:tabs>
        <w:tab w:val="left" w:pos="-1026"/>
        <w:tab w:val="left" w:pos="-306"/>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uppressAutoHyphens/>
    </w:pPr>
    <w:rPr>
      <w:rFonts w:ascii="Courier" w:hAnsi="Courier"/>
      <w:b/>
      <w:snapToGrid w:val="0"/>
      <w:sz w:val="24"/>
      <w:lang w:val="en-US" w:eastAsia="es-ES"/>
    </w:rPr>
  </w:style>
  <w:style w:type="character" w:customStyle="1" w:styleId="EquationCaption">
    <w:name w:val="_Equation Caption"/>
    <w:basedOn w:val="Fuentedeencabezadopredeter"/>
    <w:rsid w:val="00DC213F"/>
  </w:style>
  <w:style w:type="paragraph" w:customStyle="1" w:styleId="ndice1">
    <w:name w:val="índice 1"/>
    <w:basedOn w:val="Normal"/>
    <w:rsid w:val="00DC213F"/>
    <w:pPr>
      <w:tabs>
        <w:tab w:val="left" w:leader="dot" w:pos="9000"/>
        <w:tab w:val="right" w:pos="9360"/>
      </w:tabs>
      <w:suppressAutoHyphens/>
      <w:ind w:left="1440" w:right="720" w:hanging="1440"/>
    </w:pPr>
    <w:rPr>
      <w:rFonts w:ascii="Courier" w:hAnsi="Courier"/>
      <w:sz w:val="24"/>
      <w:lang w:val="en-US"/>
    </w:rPr>
  </w:style>
  <w:style w:type="paragraph" w:customStyle="1" w:styleId="ndice2">
    <w:name w:val="índice 2"/>
    <w:basedOn w:val="Normal"/>
    <w:rsid w:val="00DC213F"/>
    <w:pPr>
      <w:tabs>
        <w:tab w:val="left" w:leader="dot" w:pos="9000"/>
        <w:tab w:val="right" w:pos="9360"/>
      </w:tabs>
      <w:suppressAutoHyphens/>
      <w:ind w:left="1440" w:right="720" w:hanging="720"/>
    </w:pPr>
    <w:rPr>
      <w:rFonts w:ascii="Courier" w:hAnsi="Courier"/>
      <w:sz w:val="24"/>
      <w:lang w:val="en-US"/>
    </w:rPr>
  </w:style>
  <w:style w:type="paragraph" w:customStyle="1" w:styleId="toa">
    <w:name w:val="toa"/>
    <w:basedOn w:val="Normal"/>
    <w:uiPriority w:val="99"/>
    <w:rsid w:val="00DC213F"/>
    <w:pPr>
      <w:tabs>
        <w:tab w:val="left" w:pos="9000"/>
        <w:tab w:val="right" w:pos="9360"/>
      </w:tabs>
      <w:suppressAutoHyphens/>
    </w:pPr>
    <w:rPr>
      <w:rFonts w:ascii="Courier" w:hAnsi="Courier"/>
      <w:sz w:val="24"/>
      <w:lang w:val="en-US"/>
    </w:rPr>
  </w:style>
  <w:style w:type="paragraph" w:customStyle="1" w:styleId="epgrafe">
    <w:name w:val="epígrafe"/>
    <w:basedOn w:val="Normal"/>
    <w:rsid w:val="00DC213F"/>
    <w:rPr>
      <w:rFonts w:ascii="Courier" w:hAnsi="Courier"/>
      <w:sz w:val="24"/>
    </w:rPr>
  </w:style>
  <w:style w:type="character" w:customStyle="1" w:styleId="EquationCaption1">
    <w:name w:val="_Equation Caption1"/>
    <w:rsid w:val="00DC213F"/>
  </w:style>
  <w:style w:type="paragraph" w:styleId="Textoindependiente">
    <w:name w:val="Body Text"/>
    <w:basedOn w:val="Normal"/>
    <w:link w:val="TextoindependienteCar"/>
    <w:rsid w:val="00DC213F"/>
    <w:pPr>
      <w:spacing w:line="240" w:lineRule="atLeast"/>
      <w:jc w:val="both"/>
    </w:pPr>
    <w:rPr>
      <w:rFonts w:ascii="Arial" w:hAnsi="Arial"/>
      <w:spacing w:val="20"/>
      <w:sz w:val="16"/>
    </w:rPr>
  </w:style>
  <w:style w:type="character" w:customStyle="1" w:styleId="TextoindependienteCar">
    <w:name w:val="Texto independiente Car"/>
    <w:basedOn w:val="Fuentedeprrafopredeter"/>
    <w:link w:val="Textoindependiente"/>
    <w:rsid w:val="008222BC"/>
    <w:rPr>
      <w:rFonts w:ascii="Arial" w:hAnsi="Arial"/>
      <w:snapToGrid w:val="0"/>
      <w:spacing w:val="20"/>
      <w:sz w:val="16"/>
      <w:lang w:val="es-ES_tradnl" w:eastAsia="es-ES"/>
    </w:rPr>
  </w:style>
  <w:style w:type="paragraph" w:styleId="Sangradetextonormal">
    <w:name w:val="Body Text Indent"/>
    <w:basedOn w:val="Normal"/>
    <w:link w:val="SangradetextonormalCar"/>
    <w:rsid w:val="00DC213F"/>
    <w:pPr>
      <w:ind w:left="2127" w:hanging="1410"/>
      <w:jc w:val="both"/>
    </w:pPr>
    <w:rPr>
      <w:rFonts w:ascii="Arial" w:hAnsi="Arial"/>
      <w:sz w:val="22"/>
      <w:lang w:val="es-MX"/>
    </w:rPr>
  </w:style>
  <w:style w:type="character" w:customStyle="1" w:styleId="SangradetextonormalCar">
    <w:name w:val="Sangría de texto normal Car"/>
    <w:basedOn w:val="Fuentedeprrafopredeter"/>
    <w:link w:val="Sangradetextonormal"/>
    <w:rsid w:val="008222BC"/>
    <w:rPr>
      <w:rFonts w:ascii="Arial" w:hAnsi="Arial"/>
      <w:snapToGrid w:val="0"/>
      <w:sz w:val="22"/>
      <w:lang w:val="es-MX" w:eastAsia="es-ES"/>
    </w:rPr>
  </w:style>
  <w:style w:type="paragraph" w:styleId="Ttulo">
    <w:name w:val="Title"/>
    <w:basedOn w:val="Normal"/>
    <w:link w:val="TtuloCar"/>
    <w:uiPriority w:val="99"/>
    <w:qFormat/>
    <w:rsid w:val="00DC213F"/>
    <w:pPr>
      <w:spacing w:line="240" w:lineRule="atLeast"/>
      <w:ind w:left="1474" w:hanging="1474"/>
      <w:jc w:val="center"/>
    </w:pPr>
    <w:rPr>
      <w:rFonts w:ascii="Arial" w:hAnsi="Arial"/>
      <w:b/>
      <w:spacing w:val="20"/>
      <w:sz w:val="16"/>
    </w:rPr>
  </w:style>
  <w:style w:type="character" w:customStyle="1" w:styleId="TtuloCar">
    <w:name w:val="Título Car"/>
    <w:basedOn w:val="Fuentedeprrafopredeter"/>
    <w:link w:val="Ttulo"/>
    <w:uiPriority w:val="99"/>
    <w:rsid w:val="008222BC"/>
    <w:rPr>
      <w:rFonts w:ascii="Arial" w:hAnsi="Arial"/>
      <w:b/>
      <w:snapToGrid w:val="0"/>
      <w:spacing w:val="20"/>
      <w:sz w:val="16"/>
      <w:lang w:val="es-ES_tradnl" w:eastAsia="es-ES"/>
    </w:rPr>
  </w:style>
  <w:style w:type="paragraph" w:styleId="Sangra2detindependiente">
    <w:name w:val="Body Text Indent 2"/>
    <w:basedOn w:val="Normal"/>
    <w:link w:val="Sangra2detindependienteCar"/>
    <w:rsid w:val="00DC213F"/>
    <w:pPr>
      <w:suppressAutoHyphens/>
      <w:ind w:left="284" w:hanging="284"/>
      <w:jc w:val="both"/>
    </w:pPr>
    <w:rPr>
      <w:snapToGrid/>
      <w:sz w:val="24"/>
    </w:rPr>
  </w:style>
  <w:style w:type="character" w:customStyle="1" w:styleId="Sangra2detindependienteCar">
    <w:name w:val="Sangría 2 de t. independiente Car"/>
    <w:basedOn w:val="Fuentedeprrafopredeter"/>
    <w:link w:val="Sangra2detindependiente"/>
    <w:rsid w:val="008222BC"/>
    <w:rPr>
      <w:sz w:val="24"/>
      <w:lang w:val="es-ES_tradnl" w:eastAsia="es-ES"/>
    </w:rPr>
  </w:style>
  <w:style w:type="character" w:styleId="Refdecomentario">
    <w:name w:val="annotation reference"/>
    <w:basedOn w:val="Fuentedeprrafopredeter"/>
    <w:semiHidden/>
    <w:rsid w:val="00F25F58"/>
    <w:rPr>
      <w:sz w:val="16"/>
      <w:szCs w:val="16"/>
    </w:rPr>
  </w:style>
  <w:style w:type="paragraph" w:styleId="Textocomentario">
    <w:name w:val="annotation text"/>
    <w:basedOn w:val="Normal"/>
    <w:link w:val="TextocomentarioCar"/>
    <w:semiHidden/>
    <w:rsid w:val="00F25F58"/>
  </w:style>
  <w:style w:type="character" w:customStyle="1" w:styleId="TextocomentarioCar">
    <w:name w:val="Texto comentario Car"/>
    <w:basedOn w:val="Fuentedeprrafopredeter"/>
    <w:link w:val="Textocomentario"/>
    <w:semiHidden/>
    <w:rsid w:val="008222BC"/>
    <w:rPr>
      <w:snapToGrid w:val="0"/>
      <w:lang w:val="es-ES_tradnl" w:eastAsia="es-ES"/>
    </w:rPr>
  </w:style>
  <w:style w:type="paragraph" w:styleId="Asuntodelcomentario">
    <w:name w:val="annotation subject"/>
    <w:basedOn w:val="Textocomentario"/>
    <w:next w:val="Textocomentario"/>
    <w:link w:val="AsuntodelcomentarioCar"/>
    <w:semiHidden/>
    <w:rsid w:val="00F25F58"/>
    <w:rPr>
      <w:b/>
      <w:bCs/>
    </w:rPr>
  </w:style>
  <w:style w:type="character" w:customStyle="1" w:styleId="AsuntodelcomentarioCar">
    <w:name w:val="Asunto del comentario Car"/>
    <w:basedOn w:val="TextocomentarioCar"/>
    <w:link w:val="Asuntodelcomentario"/>
    <w:semiHidden/>
    <w:rsid w:val="008222BC"/>
    <w:rPr>
      <w:b/>
      <w:bCs/>
      <w:snapToGrid w:val="0"/>
      <w:lang w:val="es-ES_tradnl" w:eastAsia="es-ES"/>
    </w:rPr>
  </w:style>
  <w:style w:type="paragraph" w:styleId="Textodeglobo">
    <w:name w:val="Balloon Text"/>
    <w:basedOn w:val="Normal"/>
    <w:link w:val="TextodegloboCar"/>
    <w:semiHidden/>
    <w:rsid w:val="00F25F58"/>
    <w:rPr>
      <w:rFonts w:ascii="Tahoma" w:hAnsi="Tahoma" w:cs="Tahoma"/>
      <w:sz w:val="16"/>
      <w:szCs w:val="16"/>
    </w:rPr>
  </w:style>
  <w:style w:type="character" w:customStyle="1" w:styleId="TextodegloboCar">
    <w:name w:val="Texto de globo Car"/>
    <w:basedOn w:val="Fuentedeprrafopredeter"/>
    <w:link w:val="Textodeglobo"/>
    <w:semiHidden/>
    <w:rsid w:val="008222BC"/>
    <w:rPr>
      <w:rFonts w:ascii="Tahoma" w:hAnsi="Tahoma" w:cs="Tahoma"/>
      <w:snapToGrid w:val="0"/>
      <w:sz w:val="16"/>
      <w:szCs w:val="16"/>
      <w:lang w:val="es-ES_tradnl" w:eastAsia="es-ES"/>
    </w:rPr>
  </w:style>
  <w:style w:type="paragraph" w:styleId="Textonotapie">
    <w:name w:val="footnote text"/>
    <w:basedOn w:val="Normal"/>
    <w:link w:val="TextonotapieCar"/>
    <w:semiHidden/>
    <w:rsid w:val="005C4C58"/>
  </w:style>
  <w:style w:type="character" w:customStyle="1" w:styleId="TextonotapieCar">
    <w:name w:val="Texto nota pie Car"/>
    <w:basedOn w:val="Fuentedeprrafopredeter"/>
    <w:link w:val="Textonotapie"/>
    <w:semiHidden/>
    <w:rsid w:val="008222BC"/>
    <w:rPr>
      <w:snapToGrid w:val="0"/>
      <w:lang w:val="es-ES_tradnl" w:eastAsia="es-ES"/>
    </w:rPr>
  </w:style>
  <w:style w:type="character" w:styleId="Refdenotaalpie">
    <w:name w:val="footnote reference"/>
    <w:basedOn w:val="Fuentedeprrafopredeter"/>
    <w:semiHidden/>
    <w:rsid w:val="005C4C58"/>
    <w:rPr>
      <w:vertAlign w:val="superscript"/>
    </w:rPr>
  </w:style>
  <w:style w:type="paragraph" w:styleId="Prrafodelista">
    <w:name w:val="List Paragraph"/>
    <w:basedOn w:val="Normal"/>
    <w:uiPriority w:val="34"/>
    <w:qFormat/>
    <w:rsid w:val="008222BC"/>
    <w:pPr>
      <w:ind w:left="720"/>
      <w:contextualSpacing/>
    </w:pPr>
  </w:style>
  <w:style w:type="character" w:styleId="Hipervnculo">
    <w:name w:val="Hyperlink"/>
    <w:basedOn w:val="Fuentedeprrafopredeter"/>
    <w:uiPriority w:val="99"/>
    <w:unhideWhenUsed/>
    <w:rsid w:val="008222BC"/>
    <w:rPr>
      <w:color w:val="0000FF"/>
      <w:u w:val="single"/>
    </w:rPr>
  </w:style>
  <w:style w:type="character" w:styleId="Hipervnculovisitado">
    <w:name w:val="FollowedHyperlink"/>
    <w:basedOn w:val="Fuentedeprrafopredeter"/>
    <w:uiPriority w:val="99"/>
    <w:unhideWhenUsed/>
    <w:rsid w:val="008222BC"/>
    <w:rPr>
      <w:color w:val="800080"/>
      <w:u w:val="single"/>
    </w:rPr>
  </w:style>
  <w:style w:type="paragraph" w:customStyle="1" w:styleId="xl69">
    <w:name w:val="xl69"/>
    <w:basedOn w:val="Normal"/>
    <w:rsid w:val="008222BC"/>
    <w:pPr>
      <w:shd w:val="clear" w:color="000000" w:fill="FFFFFF"/>
      <w:spacing w:before="100" w:beforeAutospacing="1" w:after="100" w:afterAutospacing="1"/>
    </w:pPr>
    <w:rPr>
      <w:snapToGrid/>
      <w:sz w:val="18"/>
      <w:szCs w:val="18"/>
      <w:lang w:val="es-CO" w:eastAsia="es-CO"/>
    </w:rPr>
  </w:style>
  <w:style w:type="paragraph" w:customStyle="1" w:styleId="xl70">
    <w:name w:val="xl70"/>
    <w:basedOn w:val="Normal"/>
    <w:rsid w:val="008222BC"/>
    <w:pPr>
      <w:pBdr>
        <w:top w:val="single" w:sz="4" w:space="0" w:color="auto"/>
        <w:left w:val="single" w:sz="4" w:space="0" w:color="auto"/>
        <w:bottom w:val="single" w:sz="4" w:space="0" w:color="auto"/>
        <w:right w:val="single" w:sz="4" w:space="0" w:color="auto"/>
      </w:pBdr>
      <w:shd w:val="clear" w:color="99CC00" w:fill="D9D9D9"/>
      <w:spacing w:before="100" w:beforeAutospacing="1" w:after="100" w:afterAutospacing="1"/>
      <w:jc w:val="center"/>
      <w:textAlignment w:val="center"/>
    </w:pPr>
    <w:rPr>
      <w:rFonts w:ascii="Arial" w:hAnsi="Arial" w:cs="Arial"/>
      <w:snapToGrid/>
      <w:sz w:val="18"/>
      <w:szCs w:val="18"/>
      <w:lang w:val="es-CO" w:eastAsia="es-CO"/>
    </w:rPr>
  </w:style>
  <w:style w:type="paragraph" w:customStyle="1" w:styleId="xl71">
    <w:name w:val="xl71"/>
    <w:basedOn w:val="Normal"/>
    <w:rsid w:val="008222BC"/>
    <w:pPr>
      <w:pBdr>
        <w:top w:val="single" w:sz="4" w:space="0" w:color="auto"/>
        <w:left w:val="single" w:sz="4" w:space="0" w:color="auto"/>
        <w:bottom w:val="single" w:sz="4" w:space="0" w:color="auto"/>
        <w:right w:val="single" w:sz="4" w:space="0" w:color="auto"/>
      </w:pBdr>
      <w:shd w:val="clear" w:color="99CC00" w:fill="auto"/>
      <w:spacing w:before="100" w:beforeAutospacing="1" w:after="100" w:afterAutospacing="1"/>
      <w:jc w:val="both"/>
      <w:textAlignment w:val="center"/>
    </w:pPr>
    <w:rPr>
      <w:rFonts w:ascii="Arial" w:hAnsi="Arial" w:cs="Arial"/>
      <w:snapToGrid/>
      <w:sz w:val="18"/>
      <w:szCs w:val="18"/>
      <w:lang w:val="es-CO" w:eastAsia="es-CO"/>
    </w:rPr>
  </w:style>
  <w:style w:type="paragraph" w:customStyle="1" w:styleId="xl72">
    <w:name w:val="xl72"/>
    <w:basedOn w:val="Normal"/>
    <w:rsid w:val="00822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napToGrid/>
      <w:sz w:val="18"/>
      <w:szCs w:val="18"/>
      <w:lang w:val="es-CO" w:eastAsia="es-CO"/>
    </w:rPr>
  </w:style>
  <w:style w:type="paragraph" w:customStyle="1" w:styleId="xl73">
    <w:name w:val="xl73"/>
    <w:basedOn w:val="Normal"/>
    <w:rsid w:val="008222BC"/>
    <w:pPr>
      <w:pBdr>
        <w:top w:val="single" w:sz="4" w:space="0" w:color="auto"/>
        <w:left w:val="single" w:sz="4" w:space="0" w:color="auto"/>
        <w:bottom w:val="single" w:sz="4" w:space="0" w:color="auto"/>
        <w:right w:val="single" w:sz="4" w:space="0" w:color="auto"/>
      </w:pBdr>
      <w:shd w:val="clear" w:color="99CC00" w:fill="auto"/>
      <w:spacing w:before="100" w:beforeAutospacing="1" w:after="100" w:afterAutospacing="1"/>
      <w:jc w:val="center"/>
      <w:textAlignment w:val="center"/>
    </w:pPr>
    <w:rPr>
      <w:rFonts w:ascii="Arial" w:hAnsi="Arial" w:cs="Arial"/>
      <w:snapToGrid/>
      <w:sz w:val="18"/>
      <w:szCs w:val="18"/>
      <w:lang w:val="es-CO" w:eastAsia="es-CO"/>
    </w:rPr>
  </w:style>
  <w:style w:type="paragraph" w:customStyle="1" w:styleId="Default">
    <w:name w:val="Default"/>
    <w:rsid w:val="008222BC"/>
    <w:pPr>
      <w:autoSpaceDE w:val="0"/>
      <w:autoSpaceDN w:val="0"/>
      <w:adjustRightInd w:val="0"/>
    </w:pPr>
    <w:rPr>
      <w:rFonts w:ascii="Arial" w:eastAsiaTheme="minorHAnsi" w:hAnsi="Arial" w:cs="Arial"/>
      <w:color w:val="000000"/>
      <w:sz w:val="24"/>
      <w:szCs w:val="24"/>
      <w:lang w:eastAsia="en-US"/>
    </w:rPr>
  </w:style>
  <w:style w:type="paragraph" w:customStyle="1" w:styleId="xl74">
    <w:name w:val="xl74"/>
    <w:basedOn w:val="Normal"/>
    <w:rsid w:val="00822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napToGrid/>
      <w:sz w:val="18"/>
      <w:szCs w:val="18"/>
      <w:lang w:val="es-CO" w:eastAsia="es-CO"/>
    </w:rPr>
  </w:style>
  <w:style w:type="paragraph" w:customStyle="1" w:styleId="xl75">
    <w:name w:val="xl75"/>
    <w:basedOn w:val="Normal"/>
    <w:rsid w:val="008222BC"/>
    <w:pPr>
      <w:pBdr>
        <w:top w:val="single" w:sz="4" w:space="0" w:color="auto"/>
        <w:left w:val="single" w:sz="4" w:space="0" w:color="auto"/>
        <w:bottom w:val="single" w:sz="4" w:space="0" w:color="auto"/>
        <w:right w:val="single" w:sz="4" w:space="0" w:color="auto"/>
      </w:pBdr>
      <w:shd w:val="clear" w:color="99CC00" w:fill="auto"/>
      <w:spacing w:before="100" w:beforeAutospacing="1" w:after="100" w:afterAutospacing="1"/>
      <w:jc w:val="center"/>
      <w:textAlignment w:val="center"/>
    </w:pPr>
    <w:rPr>
      <w:rFonts w:ascii="Arial" w:hAnsi="Arial" w:cs="Arial"/>
      <w:snapToGrid/>
      <w:sz w:val="18"/>
      <w:szCs w:val="18"/>
      <w:lang w:val="es-CO" w:eastAsia="es-CO"/>
    </w:rPr>
  </w:style>
  <w:style w:type="paragraph" w:customStyle="1" w:styleId="xl76">
    <w:name w:val="xl76"/>
    <w:basedOn w:val="Normal"/>
    <w:rsid w:val="008222BC"/>
    <w:pPr>
      <w:shd w:val="clear" w:color="000000" w:fill="FFFFFF"/>
      <w:spacing w:before="100" w:beforeAutospacing="1" w:after="100" w:afterAutospacing="1"/>
      <w:jc w:val="center"/>
      <w:textAlignment w:val="center"/>
    </w:pPr>
    <w:rPr>
      <w:rFonts w:ascii="Arial" w:hAnsi="Arial" w:cs="Arial"/>
      <w:snapToGrid/>
      <w:sz w:val="18"/>
      <w:szCs w:val="18"/>
      <w:lang w:val="es-CO" w:eastAsia="es-CO"/>
    </w:rPr>
  </w:style>
  <w:style w:type="paragraph" w:customStyle="1" w:styleId="xl77">
    <w:name w:val="xl77"/>
    <w:basedOn w:val="Normal"/>
    <w:rsid w:val="00822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napToGrid/>
      <w:sz w:val="18"/>
      <w:szCs w:val="18"/>
      <w:lang w:val="es-CO" w:eastAsia="es-CO"/>
    </w:rPr>
  </w:style>
  <w:style w:type="paragraph" w:styleId="NormalWeb">
    <w:name w:val="Normal (Web)"/>
    <w:basedOn w:val="Normal"/>
    <w:uiPriority w:val="99"/>
    <w:unhideWhenUsed/>
    <w:rsid w:val="008222BC"/>
    <w:pPr>
      <w:spacing w:before="100" w:beforeAutospacing="1" w:after="100" w:afterAutospacing="1"/>
    </w:pPr>
    <w:rPr>
      <w:rFonts w:eastAsiaTheme="minorEastAsia"/>
      <w:snapToGrid/>
      <w:sz w:val="24"/>
      <w:szCs w:val="24"/>
      <w:lang w:val="es-CO" w:eastAsia="es-CO"/>
    </w:rPr>
  </w:style>
  <w:style w:type="paragraph" w:styleId="Revisin">
    <w:name w:val="Revision"/>
    <w:hidden/>
    <w:uiPriority w:val="99"/>
    <w:semiHidden/>
    <w:rsid w:val="008222BC"/>
    <w:rPr>
      <w:snapToGrid w:val="0"/>
      <w:lang w:val="es-ES_tradnl" w:eastAsia="es-ES"/>
    </w:rPr>
  </w:style>
  <w:style w:type="paragraph" w:customStyle="1" w:styleId="xl78">
    <w:name w:val="xl78"/>
    <w:basedOn w:val="Normal"/>
    <w:rsid w:val="008222BC"/>
    <w:pPr>
      <w:pBdr>
        <w:top w:val="single" w:sz="4" w:space="0" w:color="auto"/>
        <w:left w:val="single" w:sz="4" w:space="0" w:color="auto"/>
        <w:bottom w:val="single" w:sz="4" w:space="0" w:color="auto"/>
        <w:right w:val="single" w:sz="4" w:space="0" w:color="auto"/>
      </w:pBdr>
      <w:shd w:val="clear" w:color="99CC00" w:fill="D9D9D9"/>
      <w:spacing w:before="100" w:beforeAutospacing="1" w:after="100" w:afterAutospacing="1"/>
      <w:jc w:val="center"/>
      <w:textAlignment w:val="center"/>
    </w:pPr>
    <w:rPr>
      <w:rFonts w:ascii="Arial" w:hAnsi="Arial" w:cs="Arial"/>
      <w:b/>
      <w:bCs/>
      <w:snapToGrid/>
      <w:sz w:val="16"/>
      <w:szCs w:val="16"/>
      <w:lang w:val="es-CO" w:eastAsia="es-CO"/>
    </w:rPr>
  </w:style>
  <w:style w:type="paragraph" w:customStyle="1" w:styleId="xl79">
    <w:name w:val="xl79"/>
    <w:basedOn w:val="Normal"/>
    <w:rsid w:val="008222B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snapToGrid/>
      <w:sz w:val="16"/>
      <w:szCs w:val="16"/>
      <w:lang w:val="es-CO" w:eastAsia="es-CO"/>
    </w:rPr>
  </w:style>
  <w:style w:type="paragraph" w:customStyle="1" w:styleId="xl80">
    <w:name w:val="xl80"/>
    <w:basedOn w:val="Normal"/>
    <w:rsid w:val="008222BC"/>
    <w:pPr>
      <w:pBdr>
        <w:top w:val="single" w:sz="4" w:space="0" w:color="auto"/>
        <w:left w:val="single" w:sz="4" w:space="0" w:color="auto"/>
        <w:bottom w:val="single" w:sz="4" w:space="0" w:color="auto"/>
        <w:right w:val="single" w:sz="4" w:space="0" w:color="auto"/>
      </w:pBdr>
      <w:shd w:val="clear" w:color="99CC00" w:fill="DCE6F1"/>
      <w:spacing w:before="100" w:beforeAutospacing="1" w:after="100" w:afterAutospacing="1"/>
      <w:jc w:val="both"/>
      <w:textAlignment w:val="center"/>
    </w:pPr>
    <w:rPr>
      <w:rFonts w:ascii="Arial" w:hAnsi="Arial" w:cs="Arial"/>
      <w:snapToGrid/>
      <w:sz w:val="16"/>
      <w:szCs w:val="16"/>
      <w:lang w:val="es-CO" w:eastAsia="es-CO"/>
    </w:rPr>
  </w:style>
  <w:style w:type="paragraph" w:customStyle="1" w:styleId="xl81">
    <w:name w:val="xl81"/>
    <w:basedOn w:val="Normal"/>
    <w:rsid w:val="008222BC"/>
    <w:pPr>
      <w:pBdr>
        <w:top w:val="single" w:sz="4" w:space="0" w:color="auto"/>
        <w:left w:val="single" w:sz="4" w:space="0" w:color="auto"/>
        <w:bottom w:val="single" w:sz="4" w:space="0" w:color="auto"/>
        <w:right w:val="single" w:sz="4" w:space="0" w:color="auto"/>
      </w:pBdr>
      <w:shd w:val="clear" w:color="99CC00" w:fill="DCE6F1"/>
      <w:spacing w:before="100" w:beforeAutospacing="1" w:after="100" w:afterAutospacing="1"/>
      <w:jc w:val="center"/>
      <w:textAlignment w:val="center"/>
    </w:pPr>
    <w:rPr>
      <w:rFonts w:ascii="Arial" w:hAnsi="Arial" w:cs="Arial"/>
      <w:snapToGrid/>
      <w:sz w:val="16"/>
      <w:szCs w:val="16"/>
      <w:lang w:val="es-CO" w:eastAsia="es-CO"/>
    </w:rPr>
  </w:style>
  <w:style w:type="paragraph" w:customStyle="1" w:styleId="xl82">
    <w:name w:val="xl82"/>
    <w:basedOn w:val="Normal"/>
    <w:rsid w:val="008222BC"/>
    <w:pPr>
      <w:shd w:val="clear" w:color="000000" w:fill="C0504D"/>
      <w:spacing w:before="100" w:beforeAutospacing="1" w:after="100" w:afterAutospacing="1"/>
    </w:pPr>
    <w:rPr>
      <w:rFonts w:ascii="Arial" w:hAnsi="Arial" w:cs="Arial"/>
      <w:snapToGrid/>
      <w:sz w:val="16"/>
      <w:szCs w:val="16"/>
      <w:lang w:val="es-CO" w:eastAsia="es-CO"/>
    </w:rPr>
  </w:style>
  <w:style w:type="paragraph" w:customStyle="1" w:styleId="xl83">
    <w:name w:val="xl83"/>
    <w:basedOn w:val="Normal"/>
    <w:rsid w:val="008222BC"/>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textAlignment w:val="center"/>
    </w:pPr>
    <w:rPr>
      <w:rFonts w:ascii="Arial" w:hAnsi="Arial" w:cs="Arial"/>
      <w:snapToGrid/>
      <w:sz w:val="16"/>
      <w:szCs w:val="16"/>
      <w:lang w:val="es-CO" w:eastAsia="es-CO"/>
    </w:rPr>
  </w:style>
  <w:style w:type="paragraph" w:customStyle="1" w:styleId="xl84">
    <w:name w:val="xl84"/>
    <w:basedOn w:val="Normal"/>
    <w:rsid w:val="008222BC"/>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Arial" w:hAnsi="Arial" w:cs="Arial"/>
      <w:snapToGrid/>
      <w:sz w:val="16"/>
      <w:szCs w:val="16"/>
      <w:lang w:val="es-CO" w:eastAsia="es-CO"/>
    </w:rPr>
  </w:style>
  <w:style w:type="paragraph" w:customStyle="1" w:styleId="xl85">
    <w:name w:val="xl85"/>
    <w:basedOn w:val="Normal"/>
    <w:rsid w:val="008222BC"/>
    <w:pPr>
      <w:pBdr>
        <w:top w:val="single" w:sz="4" w:space="0" w:color="auto"/>
        <w:left w:val="single" w:sz="4" w:space="0" w:color="auto"/>
        <w:bottom w:val="single" w:sz="4" w:space="0" w:color="auto"/>
        <w:right w:val="single" w:sz="4" w:space="0" w:color="auto"/>
      </w:pBdr>
      <w:shd w:val="clear" w:color="99CC00" w:fill="C0504D"/>
      <w:spacing w:before="100" w:beforeAutospacing="1" w:after="100" w:afterAutospacing="1"/>
      <w:jc w:val="center"/>
      <w:textAlignment w:val="center"/>
    </w:pPr>
    <w:rPr>
      <w:rFonts w:ascii="Arial" w:hAnsi="Arial" w:cs="Arial"/>
      <w:snapToGrid/>
      <w:sz w:val="16"/>
      <w:szCs w:val="16"/>
      <w:lang w:val="es-CO" w:eastAsia="es-CO"/>
    </w:rPr>
  </w:style>
  <w:style w:type="paragraph" w:customStyle="1" w:styleId="xl86">
    <w:name w:val="xl86"/>
    <w:basedOn w:val="Normal"/>
    <w:rsid w:val="008222BC"/>
    <w:pPr>
      <w:pBdr>
        <w:top w:val="single" w:sz="4" w:space="0" w:color="auto"/>
        <w:left w:val="single" w:sz="4" w:space="0" w:color="auto"/>
        <w:bottom w:val="single" w:sz="4" w:space="0" w:color="auto"/>
        <w:right w:val="single" w:sz="4" w:space="0" w:color="auto"/>
      </w:pBdr>
      <w:shd w:val="clear" w:color="99CC00" w:fill="C0504D"/>
      <w:spacing w:before="100" w:beforeAutospacing="1" w:after="100" w:afterAutospacing="1"/>
      <w:jc w:val="both"/>
      <w:textAlignment w:val="center"/>
    </w:pPr>
    <w:rPr>
      <w:rFonts w:ascii="Arial" w:hAnsi="Arial" w:cs="Arial"/>
      <w:snapToGrid/>
      <w:sz w:val="16"/>
      <w:szCs w:val="16"/>
      <w:lang w:val="es-CO" w:eastAsia="es-CO"/>
    </w:rPr>
  </w:style>
  <w:style w:type="paragraph" w:styleId="Sinespaciado">
    <w:name w:val="No Spacing"/>
    <w:uiPriority w:val="1"/>
    <w:qFormat/>
    <w:rsid w:val="00023741"/>
    <w:rPr>
      <w:rFonts w:asciiTheme="minorHAnsi" w:eastAsiaTheme="minorHAnsi" w:hAnsiTheme="minorHAnsi" w:cstheme="minorBidi"/>
      <w:sz w:val="22"/>
      <w:szCs w:val="22"/>
      <w:lang w:eastAsia="en-US"/>
    </w:rPr>
  </w:style>
  <w:style w:type="paragraph" w:styleId="TDC1">
    <w:name w:val="toc 1"/>
    <w:basedOn w:val="Normal"/>
    <w:next w:val="Normal"/>
    <w:autoRedefine/>
    <w:uiPriority w:val="39"/>
    <w:rsid w:val="004B1E11"/>
    <w:pPr>
      <w:spacing w:before="120" w:after="120"/>
    </w:pPr>
    <w:rPr>
      <w:rFonts w:asciiTheme="minorHAnsi" w:hAnsiTheme="minorHAnsi" w:cstheme="minorHAnsi"/>
      <w:b/>
      <w:bCs/>
      <w:caps/>
    </w:rPr>
  </w:style>
  <w:style w:type="paragraph" w:styleId="TDC2">
    <w:name w:val="toc 2"/>
    <w:basedOn w:val="Normal"/>
    <w:next w:val="Normal"/>
    <w:autoRedefine/>
    <w:uiPriority w:val="39"/>
    <w:rsid w:val="004B1E11"/>
    <w:pPr>
      <w:ind w:left="200"/>
    </w:pPr>
    <w:rPr>
      <w:rFonts w:asciiTheme="minorHAnsi" w:hAnsiTheme="minorHAnsi" w:cstheme="minorHAnsi"/>
      <w:smallCaps/>
    </w:rPr>
  </w:style>
  <w:style w:type="paragraph" w:styleId="TDC3">
    <w:name w:val="toc 3"/>
    <w:basedOn w:val="Normal"/>
    <w:next w:val="Normal"/>
    <w:autoRedefine/>
    <w:uiPriority w:val="39"/>
    <w:rsid w:val="004B1E11"/>
    <w:pPr>
      <w:ind w:left="400"/>
    </w:pPr>
    <w:rPr>
      <w:rFonts w:asciiTheme="minorHAnsi" w:hAnsiTheme="minorHAnsi" w:cstheme="minorHAnsi"/>
      <w:i/>
      <w:iCs/>
    </w:rPr>
  </w:style>
  <w:style w:type="paragraph" w:styleId="TDC4">
    <w:name w:val="toc 4"/>
    <w:basedOn w:val="Normal"/>
    <w:next w:val="Normal"/>
    <w:autoRedefine/>
    <w:rsid w:val="004B1E11"/>
    <w:pPr>
      <w:ind w:left="600"/>
    </w:pPr>
    <w:rPr>
      <w:rFonts w:asciiTheme="minorHAnsi" w:hAnsiTheme="minorHAnsi" w:cstheme="minorHAnsi"/>
      <w:sz w:val="18"/>
      <w:szCs w:val="18"/>
    </w:rPr>
  </w:style>
  <w:style w:type="paragraph" w:styleId="TDC5">
    <w:name w:val="toc 5"/>
    <w:basedOn w:val="Normal"/>
    <w:next w:val="Normal"/>
    <w:autoRedefine/>
    <w:rsid w:val="004B1E11"/>
    <w:pPr>
      <w:ind w:left="800"/>
    </w:pPr>
    <w:rPr>
      <w:rFonts w:asciiTheme="minorHAnsi" w:hAnsiTheme="minorHAnsi" w:cstheme="minorHAnsi"/>
      <w:sz w:val="18"/>
      <w:szCs w:val="18"/>
    </w:rPr>
  </w:style>
  <w:style w:type="paragraph" w:styleId="TDC6">
    <w:name w:val="toc 6"/>
    <w:basedOn w:val="Normal"/>
    <w:next w:val="Normal"/>
    <w:autoRedefine/>
    <w:rsid w:val="004B1E11"/>
    <w:pPr>
      <w:ind w:left="1000"/>
    </w:pPr>
    <w:rPr>
      <w:rFonts w:asciiTheme="minorHAnsi" w:hAnsiTheme="minorHAnsi" w:cstheme="minorHAnsi"/>
      <w:sz w:val="18"/>
      <w:szCs w:val="18"/>
    </w:rPr>
  </w:style>
  <w:style w:type="paragraph" w:styleId="TDC7">
    <w:name w:val="toc 7"/>
    <w:basedOn w:val="Normal"/>
    <w:next w:val="Normal"/>
    <w:autoRedefine/>
    <w:rsid w:val="004B1E11"/>
    <w:pPr>
      <w:ind w:left="1200"/>
    </w:pPr>
    <w:rPr>
      <w:rFonts w:asciiTheme="minorHAnsi" w:hAnsiTheme="minorHAnsi" w:cstheme="minorHAnsi"/>
      <w:sz w:val="18"/>
      <w:szCs w:val="18"/>
    </w:rPr>
  </w:style>
  <w:style w:type="paragraph" w:styleId="TDC8">
    <w:name w:val="toc 8"/>
    <w:basedOn w:val="Normal"/>
    <w:next w:val="Normal"/>
    <w:autoRedefine/>
    <w:rsid w:val="004B1E11"/>
    <w:pPr>
      <w:ind w:left="1400"/>
    </w:pPr>
    <w:rPr>
      <w:rFonts w:asciiTheme="minorHAnsi" w:hAnsiTheme="minorHAnsi" w:cstheme="minorHAnsi"/>
      <w:sz w:val="18"/>
      <w:szCs w:val="18"/>
    </w:rPr>
  </w:style>
  <w:style w:type="paragraph" w:styleId="TDC9">
    <w:name w:val="toc 9"/>
    <w:basedOn w:val="Normal"/>
    <w:next w:val="Normal"/>
    <w:autoRedefine/>
    <w:rsid w:val="004B1E11"/>
    <w:pPr>
      <w:ind w:left="1600"/>
    </w:pPr>
    <w:rPr>
      <w:rFonts w:asciiTheme="minorHAnsi" w:hAnsiTheme="minorHAnsi" w:cstheme="minorHAnsi"/>
      <w:sz w:val="18"/>
      <w:szCs w:val="18"/>
    </w:rPr>
  </w:style>
  <w:style w:type="character" w:styleId="Textodelmarcadordeposicin">
    <w:name w:val="Placeholder Text"/>
    <w:basedOn w:val="Fuentedeprrafopredeter"/>
    <w:uiPriority w:val="99"/>
    <w:semiHidden/>
    <w:rsid w:val="0028353B"/>
    <w:rPr>
      <w:color w:val="808080"/>
    </w:rPr>
  </w:style>
  <w:style w:type="paragraph" w:styleId="Textoindependiente3">
    <w:name w:val="Body Text 3"/>
    <w:basedOn w:val="Normal"/>
    <w:link w:val="Textoindependiente3Car"/>
    <w:rsid w:val="008A1BA6"/>
    <w:pPr>
      <w:spacing w:after="120"/>
    </w:pPr>
    <w:rPr>
      <w:sz w:val="16"/>
      <w:szCs w:val="16"/>
    </w:rPr>
  </w:style>
  <w:style w:type="character" w:customStyle="1" w:styleId="Textoindependiente3Car">
    <w:name w:val="Texto independiente 3 Car"/>
    <w:basedOn w:val="Fuentedeprrafopredeter"/>
    <w:link w:val="Textoindependiente3"/>
    <w:rsid w:val="008A1BA6"/>
    <w:rPr>
      <w:snapToGrid w:val="0"/>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876">
      <w:bodyDiv w:val="1"/>
      <w:marLeft w:val="0"/>
      <w:marRight w:val="0"/>
      <w:marTop w:val="0"/>
      <w:marBottom w:val="0"/>
      <w:divBdr>
        <w:top w:val="none" w:sz="0" w:space="0" w:color="auto"/>
        <w:left w:val="none" w:sz="0" w:space="0" w:color="auto"/>
        <w:bottom w:val="none" w:sz="0" w:space="0" w:color="auto"/>
        <w:right w:val="none" w:sz="0" w:space="0" w:color="auto"/>
      </w:divBdr>
    </w:div>
    <w:div w:id="14352514">
      <w:bodyDiv w:val="1"/>
      <w:marLeft w:val="0"/>
      <w:marRight w:val="0"/>
      <w:marTop w:val="0"/>
      <w:marBottom w:val="0"/>
      <w:divBdr>
        <w:top w:val="none" w:sz="0" w:space="0" w:color="auto"/>
        <w:left w:val="none" w:sz="0" w:space="0" w:color="auto"/>
        <w:bottom w:val="none" w:sz="0" w:space="0" w:color="auto"/>
        <w:right w:val="none" w:sz="0" w:space="0" w:color="auto"/>
      </w:divBdr>
    </w:div>
    <w:div w:id="29502812">
      <w:bodyDiv w:val="1"/>
      <w:marLeft w:val="0"/>
      <w:marRight w:val="0"/>
      <w:marTop w:val="0"/>
      <w:marBottom w:val="0"/>
      <w:divBdr>
        <w:top w:val="none" w:sz="0" w:space="0" w:color="auto"/>
        <w:left w:val="none" w:sz="0" w:space="0" w:color="auto"/>
        <w:bottom w:val="none" w:sz="0" w:space="0" w:color="auto"/>
        <w:right w:val="none" w:sz="0" w:space="0" w:color="auto"/>
      </w:divBdr>
    </w:div>
    <w:div w:id="42217280">
      <w:bodyDiv w:val="1"/>
      <w:marLeft w:val="0"/>
      <w:marRight w:val="0"/>
      <w:marTop w:val="0"/>
      <w:marBottom w:val="0"/>
      <w:divBdr>
        <w:top w:val="none" w:sz="0" w:space="0" w:color="auto"/>
        <w:left w:val="none" w:sz="0" w:space="0" w:color="auto"/>
        <w:bottom w:val="none" w:sz="0" w:space="0" w:color="auto"/>
        <w:right w:val="none" w:sz="0" w:space="0" w:color="auto"/>
      </w:divBdr>
    </w:div>
    <w:div w:id="125438216">
      <w:bodyDiv w:val="1"/>
      <w:marLeft w:val="0"/>
      <w:marRight w:val="0"/>
      <w:marTop w:val="0"/>
      <w:marBottom w:val="0"/>
      <w:divBdr>
        <w:top w:val="none" w:sz="0" w:space="0" w:color="auto"/>
        <w:left w:val="none" w:sz="0" w:space="0" w:color="auto"/>
        <w:bottom w:val="none" w:sz="0" w:space="0" w:color="auto"/>
        <w:right w:val="none" w:sz="0" w:space="0" w:color="auto"/>
      </w:divBdr>
    </w:div>
    <w:div w:id="144783785">
      <w:bodyDiv w:val="1"/>
      <w:marLeft w:val="0"/>
      <w:marRight w:val="0"/>
      <w:marTop w:val="0"/>
      <w:marBottom w:val="0"/>
      <w:divBdr>
        <w:top w:val="none" w:sz="0" w:space="0" w:color="auto"/>
        <w:left w:val="none" w:sz="0" w:space="0" w:color="auto"/>
        <w:bottom w:val="none" w:sz="0" w:space="0" w:color="auto"/>
        <w:right w:val="none" w:sz="0" w:space="0" w:color="auto"/>
      </w:divBdr>
    </w:div>
    <w:div w:id="149565568">
      <w:bodyDiv w:val="1"/>
      <w:marLeft w:val="0"/>
      <w:marRight w:val="0"/>
      <w:marTop w:val="0"/>
      <w:marBottom w:val="0"/>
      <w:divBdr>
        <w:top w:val="none" w:sz="0" w:space="0" w:color="auto"/>
        <w:left w:val="none" w:sz="0" w:space="0" w:color="auto"/>
        <w:bottom w:val="none" w:sz="0" w:space="0" w:color="auto"/>
        <w:right w:val="none" w:sz="0" w:space="0" w:color="auto"/>
      </w:divBdr>
    </w:div>
    <w:div w:id="159122233">
      <w:bodyDiv w:val="1"/>
      <w:marLeft w:val="0"/>
      <w:marRight w:val="0"/>
      <w:marTop w:val="0"/>
      <w:marBottom w:val="0"/>
      <w:divBdr>
        <w:top w:val="none" w:sz="0" w:space="0" w:color="auto"/>
        <w:left w:val="none" w:sz="0" w:space="0" w:color="auto"/>
        <w:bottom w:val="none" w:sz="0" w:space="0" w:color="auto"/>
        <w:right w:val="none" w:sz="0" w:space="0" w:color="auto"/>
      </w:divBdr>
    </w:div>
    <w:div w:id="192497620">
      <w:bodyDiv w:val="1"/>
      <w:marLeft w:val="0"/>
      <w:marRight w:val="0"/>
      <w:marTop w:val="0"/>
      <w:marBottom w:val="0"/>
      <w:divBdr>
        <w:top w:val="none" w:sz="0" w:space="0" w:color="auto"/>
        <w:left w:val="none" w:sz="0" w:space="0" w:color="auto"/>
        <w:bottom w:val="none" w:sz="0" w:space="0" w:color="auto"/>
        <w:right w:val="none" w:sz="0" w:space="0" w:color="auto"/>
      </w:divBdr>
    </w:div>
    <w:div w:id="198055963">
      <w:bodyDiv w:val="1"/>
      <w:marLeft w:val="0"/>
      <w:marRight w:val="0"/>
      <w:marTop w:val="0"/>
      <w:marBottom w:val="0"/>
      <w:divBdr>
        <w:top w:val="none" w:sz="0" w:space="0" w:color="auto"/>
        <w:left w:val="none" w:sz="0" w:space="0" w:color="auto"/>
        <w:bottom w:val="none" w:sz="0" w:space="0" w:color="auto"/>
        <w:right w:val="none" w:sz="0" w:space="0" w:color="auto"/>
      </w:divBdr>
    </w:div>
    <w:div w:id="198980404">
      <w:bodyDiv w:val="1"/>
      <w:marLeft w:val="0"/>
      <w:marRight w:val="0"/>
      <w:marTop w:val="0"/>
      <w:marBottom w:val="0"/>
      <w:divBdr>
        <w:top w:val="none" w:sz="0" w:space="0" w:color="auto"/>
        <w:left w:val="none" w:sz="0" w:space="0" w:color="auto"/>
        <w:bottom w:val="none" w:sz="0" w:space="0" w:color="auto"/>
        <w:right w:val="none" w:sz="0" w:space="0" w:color="auto"/>
      </w:divBdr>
    </w:div>
    <w:div w:id="210044405">
      <w:bodyDiv w:val="1"/>
      <w:marLeft w:val="0"/>
      <w:marRight w:val="0"/>
      <w:marTop w:val="0"/>
      <w:marBottom w:val="0"/>
      <w:divBdr>
        <w:top w:val="none" w:sz="0" w:space="0" w:color="auto"/>
        <w:left w:val="none" w:sz="0" w:space="0" w:color="auto"/>
        <w:bottom w:val="none" w:sz="0" w:space="0" w:color="auto"/>
        <w:right w:val="none" w:sz="0" w:space="0" w:color="auto"/>
      </w:divBdr>
    </w:div>
    <w:div w:id="213125167">
      <w:bodyDiv w:val="1"/>
      <w:marLeft w:val="0"/>
      <w:marRight w:val="0"/>
      <w:marTop w:val="0"/>
      <w:marBottom w:val="0"/>
      <w:divBdr>
        <w:top w:val="none" w:sz="0" w:space="0" w:color="auto"/>
        <w:left w:val="none" w:sz="0" w:space="0" w:color="auto"/>
        <w:bottom w:val="none" w:sz="0" w:space="0" w:color="auto"/>
        <w:right w:val="none" w:sz="0" w:space="0" w:color="auto"/>
      </w:divBdr>
    </w:div>
    <w:div w:id="220750582">
      <w:bodyDiv w:val="1"/>
      <w:marLeft w:val="0"/>
      <w:marRight w:val="0"/>
      <w:marTop w:val="0"/>
      <w:marBottom w:val="0"/>
      <w:divBdr>
        <w:top w:val="none" w:sz="0" w:space="0" w:color="auto"/>
        <w:left w:val="none" w:sz="0" w:space="0" w:color="auto"/>
        <w:bottom w:val="none" w:sz="0" w:space="0" w:color="auto"/>
        <w:right w:val="none" w:sz="0" w:space="0" w:color="auto"/>
      </w:divBdr>
    </w:div>
    <w:div w:id="282466294">
      <w:bodyDiv w:val="1"/>
      <w:marLeft w:val="0"/>
      <w:marRight w:val="0"/>
      <w:marTop w:val="0"/>
      <w:marBottom w:val="0"/>
      <w:divBdr>
        <w:top w:val="none" w:sz="0" w:space="0" w:color="auto"/>
        <w:left w:val="none" w:sz="0" w:space="0" w:color="auto"/>
        <w:bottom w:val="none" w:sz="0" w:space="0" w:color="auto"/>
        <w:right w:val="none" w:sz="0" w:space="0" w:color="auto"/>
      </w:divBdr>
    </w:div>
    <w:div w:id="337781196">
      <w:bodyDiv w:val="1"/>
      <w:marLeft w:val="0"/>
      <w:marRight w:val="0"/>
      <w:marTop w:val="0"/>
      <w:marBottom w:val="0"/>
      <w:divBdr>
        <w:top w:val="none" w:sz="0" w:space="0" w:color="auto"/>
        <w:left w:val="none" w:sz="0" w:space="0" w:color="auto"/>
        <w:bottom w:val="none" w:sz="0" w:space="0" w:color="auto"/>
        <w:right w:val="none" w:sz="0" w:space="0" w:color="auto"/>
      </w:divBdr>
    </w:div>
    <w:div w:id="354502488">
      <w:bodyDiv w:val="1"/>
      <w:marLeft w:val="0"/>
      <w:marRight w:val="0"/>
      <w:marTop w:val="0"/>
      <w:marBottom w:val="0"/>
      <w:divBdr>
        <w:top w:val="none" w:sz="0" w:space="0" w:color="auto"/>
        <w:left w:val="none" w:sz="0" w:space="0" w:color="auto"/>
        <w:bottom w:val="none" w:sz="0" w:space="0" w:color="auto"/>
        <w:right w:val="none" w:sz="0" w:space="0" w:color="auto"/>
      </w:divBdr>
    </w:div>
    <w:div w:id="366639694">
      <w:bodyDiv w:val="1"/>
      <w:marLeft w:val="0"/>
      <w:marRight w:val="0"/>
      <w:marTop w:val="0"/>
      <w:marBottom w:val="0"/>
      <w:divBdr>
        <w:top w:val="none" w:sz="0" w:space="0" w:color="auto"/>
        <w:left w:val="none" w:sz="0" w:space="0" w:color="auto"/>
        <w:bottom w:val="none" w:sz="0" w:space="0" w:color="auto"/>
        <w:right w:val="none" w:sz="0" w:space="0" w:color="auto"/>
      </w:divBdr>
    </w:div>
    <w:div w:id="386495375">
      <w:bodyDiv w:val="1"/>
      <w:marLeft w:val="0"/>
      <w:marRight w:val="0"/>
      <w:marTop w:val="0"/>
      <w:marBottom w:val="0"/>
      <w:divBdr>
        <w:top w:val="none" w:sz="0" w:space="0" w:color="auto"/>
        <w:left w:val="none" w:sz="0" w:space="0" w:color="auto"/>
        <w:bottom w:val="none" w:sz="0" w:space="0" w:color="auto"/>
        <w:right w:val="none" w:sz="0" w:space="0" w:color="auto"/>
      </w:divBdr>
    </w:div>
    <w:div w:id="413626431">
      <w:bodyDiv w:val="1"/>
      <w:marLeft w:val="0"/>
      <w:marRight w:val="0"/>
      <w:marTop w:val="0"/>
      <w:marBottom w:val="0"/>
      <w:divBdr>
        <w:top w:val="none" w:sz="0" w:space="0" w:color="auto"/>
        <w:left w:val="none" w:sz="0" w:space="0" w:color="auto"/>
        <w:bottom w:val="none" w:sz="0" w:space="0" w:color="auto"/>
        <w:right w:val="none" w:sz="0" w:space="0" w:color="auto"/>
      </w:divBdr>
    </w:div>
    <w:div w:id="421027421">
      <w:bodyDiv w:val="1"/>
      <w:marLeft w:val="0"/>
      <w:marRight w:val="0"/>
      <w:marTop w:val="0"/>
      <w:marBottom w:val="0"/>
      <w:divBdr>
        <w:top w:val="none" w:sz="0" w:space="0" w:color="auto"/>
        <w:left w:val="none" w:sz="0" w:space="0" w:color="auto"/>
        <w:bottom w:val="none" w:sz="0" w:space="0" w:color="auto"/>
        <w:right w:val="none" w:sz="0" w:space="0" w:color="auto"/>
      </w:divBdr>
    </w:div>
    <w:div w:id="431585137">
      <w:bodyDiv w:val="1"/>
      <w:marLeft w:val="0"/>
      <w:marRight w:val="0"/>
      <w:marTop w:val="0"/>
      <w:marBottom w:val="0"/>
      <w:divBdr>
        <w:top w:val="none" w:sz="0" w:space="0" w:color="auto"/>
        <w:left w:val="none" w:sz="0" w:space="0" w:color="auto"/>
        <w:bottom w:val="none" w:sz="0" w:space="0" w:color="auto"/>
        <w:right w:val="none" w:sz="0" w:space="0" w:color="auto"/>
      </w:divBdr>
    </w:div>
    <w:div w:id="449400454">
      <w:bodyDiv w:val="1"/>
      <w:marLeft w:val="0"/>
      <w:marRight w:val="0"/>
      <w:marTop w:val="0"/>
      <w:marBottom w:val="0"/>
      <w:divBdr>
        <w:top w:val="none" w:sz="0" w:space="0" w:color="auto"/>
        <w:left w:val="none" w:sz="0" w:space="0" w:color="auto"/>
        <w:bottom w:val="none" w:sz="0" w:space="0" w:color="auto"/>
        <w:right w:val="none" w:sz="0" w:space="0" w:color="auto"/>
      </w:divBdr>
    </w:div>
    <w:div w:id="462388474">
      <w:bodyDiv w:val="1"/>
      <w:marLeft w:val="0"/>
      <w:marRight w:val="0"/>
      <w:marTop w:val="0"/>
      <w:marBottom w:val="0"/>
      <w:divBdr>
        <w:top w:val="none" w:sz="0" w:space="0" w:color="auto"/>
        <w:left w:val="none" w:sz="0" w:space="0" w:color="auto"/>
        <w:bottom w:val="none" w:sz="0" w:space="0" w:color="auto"/>
        <w:right w:val="none" w:sz="0" w:space="0" w:color="auto"/>
      </w:divBdr>
    </w:div>
    <w:div w:id="500316860">
      <w:bodyDiv w:val="1"/>
      <w:marLeft w:val="0"/>
      <w:marRight w:val="0"/>
      <w:marTop w:val="0"/>
      <w:marBottom w:val="0"/>
      <w:divBdr>
        <w:top w:val="none" w:sz="0" w:space="0" w:color="auto"/>
        <w:left w:val="none" w:sz="0" w:space="0" w:color="auto"/>
        <w:bottom w:val="none" w:sz="0" w:space="0" w:color="auto"/>
        <w:right w:val="none" w:sz="0" w:space="0" w:color="auto"/>
      </w:divBdr>
    </w:div>
    <w:div w:id="585110383">
      <w:bodyDiv w:val="1"/>
      <w:marLeft w:val="0"/>
      <w:marRight w:val="0"/>
      <w:marTop w:val="0"/>
      <w:marBottom w:val="0"/>
      <w:divBdr>
        <w:top w:val="none" w:sz="0" w:space="0" w:color="auto"/>
        <w:left w:val="none" w:sz="0" w:space="0" w:color="auto"/>
        <w:bottom w:val="none" w:sz="0" w:space="0" w:color="auto"/>
        <w:right w:val="none" w:sz="0" w:space="0" w:color="auto"/>
      </w:divBdr>
    </w:div>
    <w:div w:id="666904177">
      <w:bodyDiv w:val="1"/>
      <w:marLeft w:val="0"/>
      <w:marRight w:val="0"/>
      <w:marTop w:val="0"/>
      <w:marBottom w:val="0"/>
      <w:divBdr>
        <w:top w:val="none" w:sz="0" w:space="0" w:color="auto"/>
        <w:left w:val="none" w:sz="0" w:space="0" w:color="auto"/>
        <w:bottom w:val="none" w:sz="0" w:space="0" w:color="auto"/>
        <w:right w:val="none" w:sz="0" w:space="0" w:color="auto"/>
      </w:divBdr>
    </w:div>
    <w:div w:id="723606485">
      <w:bodyDiv w:val="1"/>
      <w:marLeft w:val="0"/>
      <w:marRight w:val="0"/>
      <w:marTop w:val="0"/>
      <w:marBottom w:val="0"/>
      <w:divBdr>
        <w:top w:val="none" w:sz="0" w:space="0" w:color="auto"/>
        <w:left w:val="none" w:sz="0" w:space="0" w:color="auto"/>
        <w:bottom w:val="none" w:sz="0" w:space="0" w:color="auto"/>
        <w:right w:val="none" w:sz="0" w:space="0" w:color="auto"/>
      </w:divBdr>
    </w:div>
    <w:div w:id="742143274">
      <w:bodyDiv w:val="1"/>
      <w:marLeft w:val="0"/>
      <w:marRight w:val="0"/>
      <w:marTop w:val="0"/>
      <w:marBottom w:val="0"/>
      <w:divBdr>
        <w:top w:val="none" w:sz="0" w:space="0" w:color="auto"/>
        <w:left w:val="none" w:sz="0" w:space="0" w:color="auto"/>
        <w:bottom w:val="none" w:sz="0" w:space="0" w:color="auto"/>
        <w:right w:val="none" w:sz="0" w:space="0" w:color="auto"/>
      </w:divBdr>
    </w:div>
    <w:div w:id="754714570">
      <w:bodyDiv w:val="1"/>
      <w:marLeft w:val="0"/>
      <w:marRight w:val="0"/>
      <w:marTop w:val="0"/>
      <w:marBottom w:val="0"/>
      <w:divBdr>
        <w:top w:val="none" w:sz="0" w:space="0" w:color="auto"/>
        <w:left w:val="none" w:sz="0" w:space="0" w:color="auto"/>
        <w:bottom w:val="none" w:sz="0" w:space="0" w:color="auto"/>
        <w:right w:val="none" w:sz="0" w:space="0" w:color="auto"/>
      </w:divBdr>
    </w:div>
    <w:div w:id="755135499">
      <w:bodyDiv w:val="1"/>
      <w:marLeft w:val="0"/>
      <w:marRight w:val="0"/>
      <w:marTop w:val="0"/>
      <w:marBottom w:val="0"/>
      <w:divBdr>
        <w:top w:val="none" w:sz="0" w:space="0" w:color="auto"/>
        <w:left w:val="none" w:sz="0" w:space="0" w:color="auto"/>
        <w:bottom w:val="none" w:sz="0" w:space="0" w:color="auto"/>
        <w:right w:val="none" w:sz="0" w:space="0" w:color="auto"/>
      </w:divBdr>
    </w:div>
    <w:div w:id="780804752">
      <w:bodyDiv w:val="1"/>
      <w:marLeft w:val="0"/>
      <w:marRight w:val="0"/>
      <w:marTop w:val="0"/>
      <w:marBottom w:val="0"/>
      <w:divBdr>
        <w:top w:val="none" w:sz="0" w:space="0" w:color="auto"/>
        <w:left w:val="none" w:sz="0" w:space="0" w:color="auto"/>
        <w:bottom w:val="none" w:sz="0" w:space="0" w:color="auto"/>
        <w:right w:val="none" w:sz="0" w:space="0" w:color="auto"/>
      </w:divBdr>
    </w:div>
    <w:div w:id="781727013">
      <w:bodyDiv w:val="1"/>
      <w:marLeft w:val="0"/>
      <w:marRight w:val="0"/>
      <w:marTop w:val="0"/>
      <w:marBottom w:val="0"/>
      <w:divBdr>
        <w:top w:val="none" w:sz="0" w:space="0" w:color="auto"/>
        <w:left w:val="none" w:sz="0" w:space="0" w:color="auto"/>
        <w:bottom w:val="none" w:sz="0" w:space="0" w:color="auto"/>
        <w:right w:val="none" w:sz="0" w:space="0" w:color="auto"/>
      </w:divBdr>
    </w:div>
    <w:div w:id="801383525">
      <w:bodyDiv w:val="1"/>
      <w:marLeft w:val="0"/>
      <w:marRight w:val="0"/>
      <w:marTop w:val="0"/>
      <w:marBottom w:val="0"/>
      <w:divBdr>
        <w:top w:val="none" w:sz="0" w:space="0" w:color="auto"/>
        <w:left w:val="none" w:sz="0" w:space="0" w:color="auto"/>
        <w:bottom w:val="none" w:sz="0" w:space="0" w:color="auto"/>
        <w:right w:val="none" w:sz="0" w:space="0" w:color="auto"/>
      </w:divBdr>
    </w:div>
    <w:div w:id="804590602">
      <w:bodyDiv w:val="1"/>
      <w:marLeft w:val="0"/>
      <w:marRight w:val="0"/>
      <w:marTop w:val="0"/>
      <w:marBottom w:val="0"/>
      <w:divBdr>
        <w:top w:val="none" w:sz="0" w:space="0" w:color="auto"/>
        <w:left w:val="none" w:sz="0" w:space="0" w:color="auto"/>
        <w:bottom w:val="none" w:sz="0" w:space="0" w:color="auto"/>
        <w:right w:val="none" w:sz="0" w:space="0" w:color="auto"/>
      </w:divBdr>
    </w:div>
    <w:div w:id="905725120">
      <w:bodyDiv w:val="1"/>
      <w:marLeft w:val="0"/>
      <w:marRight w:val="0"/>
      <w:marTop w:val="0"/>
      <w:marBottom w:val="0"/>
      <w:divBdr>
        <w:top w:val="none" w:sz="0" w:space="0" w:color="auto"/>
        <w:left w:val="none" w:sz="0" w:space="0" w:color="auto"/>
        <w:bottom w:val="none" w:sz="0" w:space="0" w:color="auto"/>
        <w:right w:val="none" w:sz="0" w:space="0" w:color="auto"/>
      </w:divBdr>
    </w:div>
    <w:div w:id="956983121">
      <w:bodyDiv w:val="1"/>
      <w:marLeft w:val="0"/>
      <w:marRight w:val="0"/>
      <w:marTop w:val="0"/>
      <w:marBottom w:val="0"/>
      <w:divBdr>
        <w:top w:val="none" w:sz="0" w:space="0" w:color="auto"/>
        <w:left w:val="none" w:sz="0" w:space="0" w:color="auto"/>
        <w:bottom w:val="none" w:sz="0" w:space="0" w:color="auto"/>
        <w:right w:val="none" w:sz="0" w:space="0" w:color="auto"/>
      </w:divBdr>
    </w:div>
    <w:div w:id="1022321594">
      <w:bodyDiv w:val="1"/>
      <w:marLeft w:val="0"/>
      <w:marRight w:val="0"/>
      <w:marTop w:val="0"/>
      <w:marBottom w:val="0"/>
      <w:divBdr>
        <w:top w:val="none" w:sz="0" w:space="0" w:color="auto"/>
        <w:left w:val="none" w:sz="0" w:space="0" w:color="auto"/>
        <w:bottom w:val="none" w:sz="0" w:space="0" w:color="auto"/>
        <w:right w:val="none" w:sz="0" w:space="0" w:color="auto"/>
      </w:divBdr>
    </w:div>
    <w:div w:id="1056051265">
      <w:bodyDiv w:val="1"/>
      <w:marLeft w:val="0"/>
      <w:marRight w:val="0"/>
      <w:marTop w:val="0"/>
      <w:marBottom w:val="0"/>
      <w:divBdr>
        <w:top w:val="none" w:sz="0" w:space="0" w:color="auto"/>
        <w:left w:val="none" w:sz="0" w:space="0" w:color="auto"/>
        <w:bottom w:val="none" w:sz="0" w:space="0" w:color="auto"/>
        <w:right w:val="none" w:sz="0" w:space="0" w:color="auto"/>
      </w:divBdr>
    </w:div>
    <w:div w:id="1074015140">
      <w:bodyDiv w:val="1"/>
      <w:marLeft w:val="0"/>
      <w:marRight w:val="0"/>
      <w:marTop w:val="0"/>
      <w:marBottom w:val="0"/>
      <w:divBdr>
        <w:top w:val="none" w:sz="0" w:space="0" w:color="auto"/>
        <w:left w:val="none" w:sz="0" w:space="0" w:color="auto"/>
        <w:bottom w:val="none" w:sz="0" w:space="0" w:color="auto"/>
        <w:right w:val="none" w:sz="0" w:space="0" w:color="auto"/>
      </w:divBdr>
    </w:div>
    <w:div w:id="1206715629">
      <w:bodyDiv w:val="1"/>
      <w:marLeft w:val="0"/>
      <w:marRight w:val="0"/>
      <w:marTop w:val="0"/>
      <w:marBottom w:val="0"/>
      <w:divBdr>
        <w:top w:val="none" w:sz="0" w:space="0" w:color="auto"/>
        <w:left w:val="none" w:sz="0" w:space="0" w:color="auto"/>
        <w:bottom w:val="none" w:sz="0" w:space="0" w:color="auto"/>
        <w:right w:val="none" w:sz="0" w:space="0" w:color="auto"/>
      </w:divBdr>
    </w:div>
    <w:div w:id="1274049083">
      <w:bodyDiv w:val="1"/>
      <w:marLeft w:val="0"/>
      <w:marRight w:val="0"/>
      <w:marTop w:val="0"/>
      <w:marBottom w:val="0"/>
      <w:divBdr>
        <w:top w:val="none" w:sz="0" w:space="0" w:color="auto"/>
        <w:left w:val="none" w:sz="0" w:space="0" w:color="auto"/>
        <w:bottom w:val="none" w:sz="0" w:space="0" w:color="auto"/>
        <w:right w:val="none" w:sz="0" w:space="0" w:color="auto"/>
      </w:divBdr>
    </w:div>
    <w:div w:id="1278829278">
      <w:bodyDiv w:val="1"/>
      <w:marLeft w:val="0"/>
      <w:marRight w:val="0"/>
      <w:marTop w:val="0"/>
      <w:marBottom w:val="0"/>
      <w:divBdr>
        <w:top w:val="none" w:sz="0" w:space="0" w:color="auto"/>
        <w:left w:val="none" w:sz="0" w:space="0" w:color="auto"/>
        <w:bottom w:val="none" w:sz="0" w:space="0" w:color="auto"/>
        <w:right w:val="none" w:sz="0" w:space="0" w:color="auto"/>
      </w:divBdr>
    </w:div>
    <w:div w:id="1289818318">
      <w:bodyDiv w:val="1"/>
      <w:marLeft w:val="0"/>
      <w:marRight w:val="0"/>
      <w:marTop w:val="0"/>
      <w:marBottom w:val="0"/>
      <w:divBdr>
        <w:top w:val="none" w:sz="0" w:space="0" w:color="auto"/>
        <w:left w:val="none" w:sz="0" w:space="0" w:color="auto"/>
        <w:bottom w:val="none" w:sz="0" w:space="0" w:color="auto"/>
        <w:right w:val="none" w:sz="0" w:space="0" w:color="auto"/>
      </w:divBdr>
    </w:div>
    <w:div w:id="1297640976">
      <w:bodyDiv w:val="1"/>
      <w:marLeft w:val="0"/>
      <w:marRight w:val="0"/>
      <w:marTop w:val="0"/>
      <w:marBottom w:val="0"/>
      <w:divBdr>
        <w:top w:val="none" w:sz="0" w:space="0" w:color="auto"/>
        <w:left w:val="none" w:sz="0" w:space="0" w:color="auto"/>
        <w:bottom w:val="none" w:sz="0" w:space="0" w:color="auto"/>
        <w:right w:val="none" w:sz="0" w:space="0" w:color="auto"/>
      </w:divBdr>
    </w:div>
    <w:div w:id="1340738053">
      <w:bodyDiv w:val="1"/>
      <w:marLeft w:val="0"/>
      <w:marRight w:val="0"/>
      <w:marTop w:val="0"/>
      <w:marBottom w:val="0"/>
      <w:divBdr>
        <w:top w:val="none" w:sz="0" w:space="0" w:color="auto"/>
        <w:left w:val="none" w:sz="0" w:space="0" w:color="auto"/>
        <w:bottom w:val="none" w:sz="0" w:space="0" w:color="auto"/>
        <w:right w:val="none" w:sz="0" w:space="0" w:color="auto"/>
      </w:divBdr>
    </w:div>
    <w:div w:id="1357075297">
      <w:bodyDiv w:val="1"/>
      <w:marLeft w:val="0"/>
      <w:marRight w:val="0"/>
      <w:marTop w:val="0"/>
      <w:marBottom w:val="0"/>
      <w:divBdr>
        <w:top w:val="none" w:sz="0" w:space="0" w:color="auto"/>
        <w:left w:val="none" w:sz="0" w:space="0" w:color="auto"/>
        <w:bottom w:val="none" w:sz="0" w:space="0" w:color="auto"/>
        <w:right w:val="none" w:sz="0" w:space="0" w:color="auto"/>
      </w:divBdr>
    </w:div>
    <w:div w:id="1436288132">
      <w:bodyDiv w:val="1"/>
      <w:marLeft w:val="0"/>
      <w:marRight w:val="0"/>
      <w:marTop w:val="0"/>
      <w:marBottom w:val="0"/>
      <w:divBdr>
        <w:top w:val="none" w:sz="0" w:space="0" w:color="auto"/>
        <w:left w:val="none" w:sz="0" w:space="0" w:color="auto"/>
        <w:bottom w:val="none" w:sz="0" w:space="0" w:color="auto"/>
        <w:right w:val="none" w:sz="0" w:space="0" w:color="auto"/>
      </w:divBdr>
    </w:div>
    <w:div w:id="1440222800">
      <w:bodyDiv w:val="1"/>
      <w:marLeft w:val="0"/>
      <w:marRight w:val="0"/>
      <w:marTop w:val="0"/>
      <w:marBottom w:val="0"/>
      <w:divBdr>
        <w:top w:val="none" w:sz="0" w:space="0" w:color="auto"/>
        <w:left w:val="none" w:sz="0" w:space="0" w:color="auto"/>
        <w:bottom w:val="none" w:sz="0" w:space="0" w:color="auto"/>
        <w:right w:val="none" w:sz="0" w:space="0" w:color="auto"/>
      </w:divBdr>
    </w:div>
    <w:div w:id="1492409136">
      <w:bodyDiv w:val="1"/>
      <w:marLeft w:val="0"/>
      <w:marRight w:val="0"/>
      <w:marTop w:val="0"/>
      <w:marBottom w:val="0"/>
      <w:divBdr>
        <w:top w:val="none" w:sz="0" w:space="0" w:color="auto"/>
        <w:left w:val="none" w:sz="0" w:space="0" w:color="auto"/>
        <w:bottom w:val="none" w:sz="0" w:space="0" w:color="auto"/>
        <w:right w:val="none" w:sz="0" w:space="0" w:color="auto"/>
      </w:divBdr>
    </w:div>
    <w:div w:id="1551645574">
      <w:bodyDiv w:val="1"/>
      <w:marLeft w:val="0"/>
      <w:marRight w:val="0"/>
      <w:marTop w:val="0"/>
      <w:marBottom w:val="0"/>
      <w:divBdr>
        <w:top w:val="none" w:sz="0" w:space="0" w:color="auto"/>
        <w:left w:val="none" w:sz="0" w:space="0" w:color="auto"/>
        <w:bottom w:val="none" w:sz="0" w:space="0" w:color="auto"/>
        <w:right w:val="none" w:sz="0" w:space="0" w:color="auto"/>
      </w:divBdr>
    </w:div>
    <w:div w:id="1558279447">
      <w:bodyDiv w:val="1"/>
      <w:marLeft w:val="0"/>
      <w:marRight w:val="0"/>
      <w:marTop w:val="0"/>
      <w:marBottom w:val="0"/>
      <w:divBdr>
        <w:top w:val="none" w:sz="0" w:space="0" w:color="auto"/>
        <w:left w:val="none" w:sz="0" w:space="0" w:color="auto"/>
        <w:bottom w:val="none" w:sz="0" w:space="0" w:color="auto"/>
        <w:right w:val="none" w:sz="0" w:space="0" w:color="auto"/>
      </w:divBdr>
    </w:div>
    <w:div w:id="1587031011">
      <w:bodyDiv w:val="1"/>
      <w:marLeft w:val="0"/>
      <w:marRight w:val="0"/>
      <w:marTop w:val="0"/>
      <w:marBottom w:val="0"/>
      <w:divBdr>
        <w:top w:val="none" w:sz="0" w:space="0" w:color="auto"/>
        <w:left w:val="none" w:sz="0" w:space="0" w:color="auto"/>
        <w:bottom w:val="none" w:sz="0" w:space="0" w:color="auto"/>
        <w:right w:val="none" w:sz="0" w:space="0" w:color="auto"/>
      </w:divBdr>
    </w:div>
    <w:div w:id="1587612157">
      <w:bodyDiv w:val="1"/>
      <w:marLeft w:val="0"/>
      <w:marRight w:val="0"/>
      <w:marTop w:val="0"/>
      <w:marBottom w:val="0"/>
      <w:divBdr>
        <w:top w:val="none" w:sz="0" w:space="0" w:color="auto"/>
        <w:left w:val="none" w:sz="0" w:space="0" w:color="auto"/>
        <w:bottom w:val="none" w:sz="0" w:space="0" w:color="auto"/>
        <w:right w:val="none" w:sz="0" w:space="0" w:color="auto"/>
      </w:divBdr>
    </w:div>
    <w:div w:id="1622571429">
      <w:bodyDiv w:val="1"/>
      <w:marLeft w:val="0"/>
      <w:marRight w:val="0"/>
      <w:marTop w:val="0"/>
      <w:marBottom w:val="0"/>
      <w:divBdr>
        <w:top w:val="none" w:sz="0" w:space="0" w:color="auto"/>
        <w:left w:val="none" w:sz="0" w:space="0" w:color="auto"/>
        <w:bottom w:val="none" w:sz="0" w:space="0" w:color="auto"/>
        <w:right w:val="none" w:sz="0" w:space="0" w:color="auto"/>
      </w:divBdr>
    </w:div>
    <w:div w:id="1633052985">
      <w:bodyDiv w:val="1"/>
      <w:marLeft w:val="0"/>
      <w:marRight w:val="0"/>
      <w:marTop w:val="0"/>
      <w:marBottom w:val="0"/>
      <w:divBdr>
        <w:top w:val="none" w:sz="0" w:space="0" w:color="auto"/>
        <w:left w:val="none" w:sz="0" w:space="0" w:color="auto"/>
        <w:bottom w:val="none" w:sz="0" w:space="0" w:color="auto"/>
        <w:right w:val="none" w:sz="0" w:space="0" w:color="auto"/>
      </w:divBdr>
    </w:div>
    <w:div w:id="1674839535">
      <w:bodyDiv w:val="1"/>
      <w:marLeft w:val="0"/>
      <w:marRight w:val="0"/>
      <w:marTop w:val="0"/>
      <w:marBottom w:val="0"/>
      <w:divBdr>
        <w:top w:val="none" w:sz="0" w:space="0" w:color="auto"/>
        <w:left w:val="none" w:sz="0" w:space="0" w:color="auto"/>
        <w:bottom w:val="none" w:sz="0" w:space="0" w:color="auto"/>
        <w:right w:val="none" w:sz="0" w:space="0" w:color="auto"/>
      </w:divBdr>
    </w:div>
    <w:div w:id="1685016366">
      <w:bodyDiv w:val="1"/>
      <w:marLeft w:val="0"/>
      <w:marRight w:val="0"/>
      <w:marTop w:val="0"/>
      <w:marBottom w:val="0"/>
      <w:divBdr>
        <w:top w:val="none" w:sz="0" w:space="0" w:color="auto"/>
        <w:left w:val="none" w:sz="0" w:space="0" w:color="auto"/>
        <w:bottom w:val="none" w:sz="0" w:space="0" w:color="auto"/>
        <w:right w:val="none" w:sz="0" w:space="0" w:color="auto"/>
      </w:divBdr>
    </w:div>
    <w:div w:id="1731732425">
      <w:bodyDiv w:val="1"/>
      <w:marLeft w:val="0"/>
      <w:marRight w:val="0"/>
      <w:marTop w:val="0"/>
      <w:marBottom w:val="0"/>
      <w:divBdr>
        <w:top w:val="none" w:sz="0" w:space="0" w:color="auto"/>
        <w:left w:val="none" w:sz="0" w:space="0" w:color="auto"/>
        <w:bottom w:val="none" w:sz="0" w:space="0" w:color="auto"/>
        <w:right w:val="none" w:sz="0" w:space="0" w:color="auto"/>
      </w:divBdr>
    </w:div>
    <w:div w:id="1752001294">
      <w:bodyDiv w:val="1"/>
      <w:marLeft w:val="0"/>
      <w:marRight w:val="0"/>
      <w:marTop w:val="0"/>
      <w:marBottom w:val="0"/>
      <w:divBdr>
        <w:top w:val="none" w:sz="0" w:space="0" w:color="auto"/>
        <w:left w:val="none" w:sz="0" w:space="0" w:color="auto"/>
        <w:bottom w:val="none" w:sz="0" w:space="0" w:color="auto"/>
        <w:right w:val="none" w:sz="0" w:space="0" w:color="auto"/>
      </w:divBdr>
    </w:div>
    <w:div w:id="1756129572">
      <w:bodyDiv w:val="1"/>
      <w:marLeft w:val="0"/>
      <w:marRight w:val="0"/>
      <w:marTop w:val="0"/>
      <w:marBottom w:val="0"/>
      <w:divBdr>
        <w:top w:val="none" w:sz="0" w:space="0" w:color="auto"/>
        <w:left w:val="none" w:sz="0" w:space="0" w:color="auto"/>
        <w:bottom w:val="none" w:sz="0" w:space="0" w:color="auto"/>
        <w:right w:val="none" w:sz="0" w:space="0" w:color="auto"/>
      </w:divBdr>
    </w:div>
    <w:div w:id="1757171618">
      <w:bodyDiv w:val="1"/>
      <w:marLeft w:val="0"/>
      <w:marRight w:val="0"/>
      <w:marTop w:val="0"/>
      <w:marBottom w:val="0"/>
      <w:divBdr>
        <w:top w:val="none" w:sz="0" w:space="0" w:color="auto"/>
        <w:left w:val="none" w:sz="0" w:space="0" w:color="auto"/>
        <w:bottom w:val="none" w:sz="0" w:space="0" w:color="auto"/>
        <w:right w:val="none" w:sz="0" w:space="0" w:color="auto"/>
      </w:divBdr>
    </w:div>
    <w:div w:id="1773432108">
      <w:bodyDiv w:val="1"/>
      <w:marLeft w:val="0"/>
      <w:marRight w:val="0"/>
      <w:marTop w:val="0"/>
      <w:marBottom w:val="0"/>
      <w:divBdr>
        <w:top w:val="none" w:sz="0" w:space="0" w:color="auto"/>
        <w:left w:val="none" w:sz="0" w:space="0" w:color="auto"/>
        <w:bottom w:val="none" w:sz="0" w:space="0" w:color="auto"/>
        <w:right w:val="none" w:sz="0" w:space="0" w:color="auto"/>
      </w:divBdr>
    </w:div>
    <w:div w:id="1778984426">
      <w:bodyDiv w:val="1"/>
      <w:marLeft w:val="0"/>
      <w:marRight w:val="0"/>
      <w:marTop w:val="0"/>
      <w:marBottom w:val="0"/>
      <w:divBdr>
        <w:top w:val="none" w:sz="0" w:space="0" w:color="auto"/>
        <w:left w:val="none" w:sz="0" w:space="0" w:color="auto"/>
        <w:bottom w:val="none" w:sz="0" w:space="0" w:color="auto"/>
        <w:right w:val="none" w:sz="0" w:space="0" w:color="auto"/>
      </w:divBdr>
    </w:div>
    <w:div w:id="1786190954">
      <w:bodyDiv w:val="1"/>
      <w:marLeft w:val="0"/>
      <w:marRight w:val="0"/>
      <w:marTop w:val="0"/>
      <w:marBottom w:val="0"/>
      <w:divBdr>
        <w:top w:val="none" w:sz="0" w:space="0" w:color="auto"/>
        <w:left w:val="none" w:sz="0" w:space="0" w:color="auto"/>
        <w:bottom w:val="none" w:sz="0" w:space="0" w:color="auto"/>
        <w:right w:val="none" w:sz="0" w:space="0" w:color="auto"/>
      </w:divBdr>
    </w:div>
    <w:div w:id="1851140395">
      <w:bodyDiv w:val="1"/>
      <w:marLeft w:val="0"/>
      <w:marRight w:val="0"/>
      <w:marTop w:val="0"/>
      <w:marBottom w:val="0"/>
      <w:divBdr>
        <w:top w:val="none" w:sz="0" w:space="0" w:color="auto"/>
        <w:left w:val="none" w:sz="0" w:space="0" w:color="auto"/>
        <w:bottom w:val="none" w:sz="0" w:space="0" w:color="auto"/>
        <w:right w:val="none" w:sz="0" w:space="0" w:color="auto"/>
      </w:divBdr>
    </w:div>
    <w:div w:id="1855461223">
      <w:bodyDiv w:val="1"/>
      <w:marLeft w:val="0"/>
      <w:marRight w:val="0"/>
      <w:marTop w:val="0"/>
      <w:marBottom w:val="0"/>
      <w:divBdr>
        <w:top w:val="none" w:sz="0" w:space="0" w:color="auto"/>
        <w:left w:val="none" w:sz="0" w:space="0" w:color="auto"/>
        <w:bottom w:val="none" w:sz="0" w:space="0" w:color="auto"/>
        <w:right w:val="none" w:sz="0" w:space="0" w:color="auto"/>
      </w:divBdr>
    </w:div>
    <w:div w:id="1920602280">
      <w:bodyDiv w:val="1"/>
      <w:marLeft w:val="0"/>
      <w:marRight w:val="0"/>
      <w:marTop w:val="0"/>
      <w:marBottom w:val="0"/>
      <w:divBdr>
        <w:top w:val="none" w:sz="0" w:space="0" w:color="auto"/>
        <w:left w:val="none" w:sz="0" w:space="0" w:color="auto"/>
        <w:bottom w:val="none" w:sz="0" w:space="0" w:color="auto"/>
        <w:right w:val="none" w:sz="0" w:space="0" w:color="auto"/>
      </w:divBdr>
    </w:div>
    <w:div w:id="1923905659">
      <w:bodyDiv w:val="1"/>
      <w:marLeft w:val="0"/>
      <w:marRight w:val="0"/>
      <w:marTop w:val="0"/>
      <w:marBottom w:val="0"/>
      <w:divBdr>
        <w:top w:val="none" w:sz="0" w:space="0" w:color="auto"/>
        <w:left w:val="none" w:sz="0" w:space="0" w:color="auto"/>
        <w:bottom w:val="none" w:sz="0" w:space="0" w:color="auto"/>
        <w:right w:val="none" w:sz="0" w:space="0" w:color="auto"/>
      </w:divBdr>
    </w:div>
    <w:div w:id="1944992039">
      <w:bodyDiv w:val="1"/>
      <w:marLeft w:val="0"/>
      <w:marRight w:val="0"/>
      <w:marTop w:val="0"/>
      <w:marBottom w:val="0"/>
      <w:divBdr>
        <w:top w:val="none" w:sz="0" w:space="0" w:color="auto"/>
        <w:left w:val="none" w:sz="0" w:space="0" w:color="auto"/>
        <w:bottom w:val="none" w:sz="0" w:space="0" w:color="auto"/>
        <w:right w:val="none" w:sz="0" w:space="0" w:color="auto"/>
      </w:divBdr>
    </w:div>
    <w:div w:id="1952859977">
      <w:bodyDiv w:val="1"/>
      <w:marLeft w:val="0"/>
      <w:marRight w:val="0"/>
      <w:marTop w:val="0"/>
      <w:marBottom w:val="0"/>
      <w:divBdr>
        <w:top w:val="none" w:sz="0" w:space="0" w:color="auto"/>
        <w:left w:val="none" w:sz="0" w:space="0" w:color="auto"/>
        <w:bottom w:val="none" w:sz="0" w:space="0" w:color="auto"/>
        <w:right w:val="none" w:sz="0" w:space="0" w:color="auto"/>
      </w:divBdr>
    </w:div>
    <w:div w:id="2017683690">
      <w:bodyDiv w:val="1"/>
      <w:marLeft w:val="0"/>
      <w:marRight w:val="0"/>
      <w:marTop w:val="0"/>
      <w:marBottom w:val="0"/>
      <w:divBdr>
        <w:top w:val="none" w:sz="0" w:space="0" w:color="auto"/>
        <w:left w:val="none" w:sz="0" w:space="0" w:color="auto"/>
        <w:bottom w:val="none" w:sz="0" w:space="0" w:color="auto"/>
        <w:right w:val="none" w:sz="0" w:space="0" w:color="auto"/>
      </w:divBdr>
    </w:div>
    <w:div w:id="2073309258">
      <w:bodyDiv w:val="1"/>
      <w:marLeft w:val="0"/>
      <w:marRight w:val="0"/>
      <w:marTop w:val="0"/>
      <w:marBottom w:val="0"/>
      <w:divBdr>
        <w:top w:val="none" w:sz="0" w:space="0" w:color="auto"/>
        <w:left w:val="none" w:sz="0" w:space="0" w:color="auto"/>
        <w:bottom w:val="none" w:sz="0" w:space="0" w:color="auto"/>
        <w:right w:val="none" w:sz="0" w:space="0" w:color="auto"/>
      </w:divBdr>
    </w:div>
    <w:div w:id="2076657210">
      <w:bodyDiv w:val="1"/>
      <w:marLeft w:val="0"/>
      <w:marRight w:val="0"/>
      <w:marTop w:val="0"/>
      <w:marBottom w:val="0"/>
      <w:divBdr>
        <w:top w:val="none" w:sz="0" w:space="0" w:color="auto"/>
        <w:left w:val="none" w:sz="0" w:space="0" w:color="auto"/>
        <w:bottom w:val="none" w:sz="0" w:space="0" w:color="auto"/>
        <w:right w:val="none" w:sz="0" w:space="0" w:color="auto"/>
      </w:divBdr>
    </w:div>
    <w:div w:id="2139180274">
      <w:bodyDiv w:val="1"/>
      <w:marLeft w:val="0"/>
      <w:marRight w:val="0"/>
      <w:marTop w:val="0"/>
      <w:marBottom w:val="0"/>
      <w:divBdr>
        <w:top w:val="none" w:sz="0" w:space="0" w:color="auto"/>
        <w:left w:val="none" w:sz="0" w:space="0" w:color="auto"/>
        <w:bottom w:val="none" w:sz="0" w:space="0" w:color="auto"/>
        <w:right w:val="none" w:sz="0" w:space="0" w:color="auto"/>
      </w:divBdr>
    </w:div>
    <w:div w:id="21418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ABB6F-6AF8-41FC-B9C0-BF82182E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27</Pages>
  <Words>14677</Words>
  <Characters>80725</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CAPITULO XIII</vt:lpstr>
    </vt:vector>
  </TitlesOfParts>
  <Company>Superintendencia Financiera de Colombia</Company>
  <LinksUpToDate>false</LinksUpToDate>
  <CharactersWithSpaces>95212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XIII</dc:title>
  <dc:creator>CURSO3</dc:creator>
  <cp:lastModifiedBy>gaospina</cp:lastModifiedBy>
  <cp:revision>4</cp:revision>
  <cp:lastPrinted>2013-06-27T12:23:00Z</cp:lastPrinted>
  <dcterms:created xsi:type="dcterms:W3CDTF">2013-06-28T22:39:00Z</dcterms:created>
  <dcterms:modified xsi:type="dcterms:W3CDTF">2013-11-27T21:17:00Z</dcterms:modified>
</cp:coreProperties>
</file>